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7CE36" w14:textId="4A4C9DF4" w:rsidR="004F04E4" w:rsidRDefault="00776370" w:rsidP="00803459">
      <w:pPr>
        <w:jc w:val="center"/>
        <w:rPr>
          <w:rFonts w:cs="Georgia"/>
          <w:b/>
          <w:bCs/>
          <w:color w:val="000000"/>
          <w:sz w:val="32"/>
          <w:szCs w:val="32"/>
        </w:rPr>
      </w:pPr>
      <w:r>
        <w:rPr>
          <w:rFonts w:cs="Georgia"/>
          <w:b/>
          <w:bCs/>
          <w:color w:val="000000"/>
          <w:sz w:val="32"/>
          <w:szCs w:val="32"/>
        </w:rPr>
        <w:t xml:space="preserve"> </w:t>
      </w:r>
    </w:p>
    <w:p w14:paraId="262E9DCC" w14:textId="77777777" w:rsidR="004F04E4" w:rsidRDefault="004F04E4" w:rsidP="00803459">
      <w:pPr>
        <w:jc w:val="center"/>
        <w:rPr>
          <w:rFonts w:cs="Georgia"/>
          <w:b/>
          <w:bCs/>
          <w:color w:val="000000"/>
          <w:sz w:val="32"/>
          <w:szCs w:val="32"/>
        </w:rPr>
      </w:pPr>
    </w:p>
    <w:p w14:paraId="65686D14" w14:textId="77777777" w:rsidR="004F04E4" w:rsidRDefault="004F04E4" w:rsidP="00803459">
      <w:pPr>
        <w:jc w:val="center"/>
        <w:rPr>
          <w:rFonts w:cs="Georgia"/>
          <w:b/>
          <w:bCs/>
          <w:color w:val="000000"/>
          <w:sz w:val="32"/>
          <w:szCs w:val="32"/>
        </w:rPr>
      </w:pPr>
    </w:p>
    <w:p w14:paraId="41C61C89" w14:textId="1B60D484" w:rsidR="00803459" w:rsidRPr="000B71AF" w:rsidRDefault="00803459" w:rsidP="00803459">
      <w:pPr>
        <w:jc w:val="center"/>
        <w:rPr>
          <w:rFonts w:cs="Georgia"/>
          <w:b/>
          <w:bCs/>
          <w:color w:val="000000"/>
          <w:sz w:val="32"/>
          <w:szCs w:val="32"/>
        </w:rPr>
      </w:pPr>
      <w:r w:rsidRPr="000B71AF">
        <w:rPr>
          <w:rFonts w:cs="Georgia"/>
          <w:b/>
          <w:bCs/>
          <w:color w:val="000000"/>
          <w:sz w:val="32"/>
          <w:szCs w:val="32"/>
        </w:rPr>
        <w:t>College of Health Sciences</w:t>
      </w:r>
    </w:p>
    <w:p w14:paraId="20FD1291" w14:textId="77777777" w:rsidR="00803459" w:rsidRPr="000B71AF" w:rsidRDefault="00803459" w:rsidP="00803459">
      <w:pPr>
        <w:jc w:val="center"/>
        <w:rPr>
          <w:rFonts w:cs="Georgia"/>
          <w:b/>
          <w:bCs/>
          <w:color w:val="000000"/>
          <w:sz w:val="32"/>
          <w:szCs w:val="32"/>
        </w:rPr>
      </w:pPr>
      <w:r w:rsidRPr="000B71AF">
        <w:rPr>
          <w:rFonts w:cs="Georgia"/>
          <w:b/>
          <w:bCs/>
          <w:color w:val="000000"/>
          <w:sz w:val="32"/>
          <w:szCs w:val="32"/>
        </w:rPr>
        <w:t xml:space="preserve">Strategic Plan </w:t>
      </w:r>
    </w:p>
    <w:p w14:paraId="6FD7543A" w14:textId="77777777" w:rsidR="00803459" w:rsidRDefault="00803459" w:rsidP="00803459">
      <w:pPr>
        <w:jc w:val="center"/>
        <w:rPr>
          <w:rFonts w:cs="Georgia"/>
          <w:b/>
          <w:bCs/>
          <w:color w:val="000000"/>
          <w:sz w:val="32"/>
          <w:szCs w:val="32"/>
        </w:rPr>
      </w:pPr>
      <w:r w:rsidRPr="000B71AF">
        <w:rPr>
          <w:rFonts w:cs="Georgia"/>
          <w:b/>
          <w:bCs/>
          <w:color w:val="000000"/>
          <w:sz w:val="32"/>
          <w:szCs w:val="32"/>
        </w:rPr>
        <w:t>2015-2021</w:t>
      </w:r>
      <w:r w:rsidRPr="000B71AF">
        <w:rPr>
          <w:rFonts w:eastAsia="Times New Roman" w:cs="Times New Roman"/>
          <w:color w:val="333333"/>
          <w:sz w:val="21"/>
          <w:szCs w:val="21"/>
          <w:shd w:val="clear" w:color="auto" w:fill="FFFFFF"/>
        </w:rPr>
        <w:t xml:space="preserve"> </w:t>
      </w:r>
      <w:r w:rsidRPr="000B71AF">
        <w:rPr>
          <w:rFonts w:cs="Georgia"/>
          <w:b/>
          <w:bCs/>
          <w:color w:val="000000"/>
          <w:sz w:val="32"/>
          <w:szCs w:val="32"/>
        </w:rPr>
        <w:t> </w:t>
      </w:r>
    </w:p>
    <w:p w14:paraId="7D19A089" w14:textId="77777777" w:rsidR="004F04E4" w:rsidRDefault="004F04E4" w:rsidP="00803459">
      <w:pPr>
        <w:jc w:val="center"/>
        <w:rPr>
          <w:rFonts w:cs="Georgia"/>
          <w:b/>
          <w:bCs/>
          <w:color w:val="000000"/>
          <w:sz w:val="32"/>
          <w:szCs w:val="32"/>
        </w:rPr>
      </w:pPr>
    </w:p>
    <w:p w14:paraId="722D8D87" w14:textId="77777777" w:rsidR="004F04E4" w:rsidRDefault="004F04E4" w:rsidP="00803459">
      <w:pPr>
        <w:jc w:val="center"/>
        <w:rPr>
          <w:rFonts w:cs="Georgia"/>
          <w:b/>
          <w:bCs/>
          <w:color w:val="000000"/>
          <w:sz w:val="32"/>
          <w:szCs w:val="32"/>
        </w:rPr>
      </w:pPr>
    </w:p>
    <w:p w14:paraId="3A64640F" w14:textId="77777777" w:rsidR="004F04E4" w:rsidRPr="000B71AF" w:rsidRDefault="004F04E4" w:rsidP="00803459">
      <w:pPr>
        <w:jc w:val="center"/>
        <w:rPr>
          <w:rFonts w:cs="Georgia"/>
          <w:b/>
          <w:bCs/>
          <w:color w:val="000000"/>
          <w:sz w:val="32"/>
          <w:szCs w:val="32"/>
        </w:rPr>
      </w:pPr>
    </w:p>
    <w:p w14:paraId="317BB928" w14:textId="77777777" w:rsidR="00803459" w:rsidRPr="000B71AF" w:rsidRDefault="00803459" w:rsidP="00803459">
      <w:pPr>
        <w:jc w:val="center"/>
        <w:rPr>
          <w:rFonts w:cs="Georgia"/>
          <w:b/>
          <w:bCs/>
          <w:color w:val="000000"/>
          <w:sz w:val="32"/>
          <w:szCs w:val="32"/>
        </w:rPr>
      </w:pPr>
    </w:p>
    <w:p w14:paraId="76489052" w14:textId="719530A3" w:rsidR="00803459" w:rsidRPr="000B71AF" w:rsidRDefault="004F04E4" w:rsidP="00803459">
      <w:pPr>
        <w:jc w:val="center"/>
        <w:rPr>
          <w:rFonts w:cs="Georgia"/>
          <w:b/>
          <w:bCs/>
          <w:color w:val="000000"/>
          <w:sz w:val="32"/>
          <w:szCs w:val="32"/>
        </w:rPr>
      </w:pPr>
      <w:r w:rsidRPr="000B71AF">
        <w:rPr>
          <w:rFonts w:cs="Georgia"/>
          <w:b/>
          <w:bCs/>
          <w:color w:val="000000"/>
          <w:sz w:val="32"/>
          <w:szCs w:val="32"/>
        </w:rPr>
        <w:t>EDUCATING THE CLINICAL, EDUCATIONAL AND RESEARCH LEADERS OF TOMORROW</w:t>
      </w:r>
    </w:p>
    <w:p w14:paraId="5660E220" w14:textId="27BDFB00" w:rsidR="00E12551" w:rsidRPr="000B71AF" w:rsidRDefault="00E12551" w:rsidP="00803459">
      <w:pPr>
        <w:jc w:val="center"/>
        <w:rPr>
          <w:rFonts w:cs="Georgia"/>
          <w:b/>
          <w:bCs/>
          <w:color w:val="000000"/>
          <w:sz w:val="32"/>
          <w:szCs w:val="32"/>
        </w:rPr>
      </w:pPr>
    </w:p>
    <w:p w14:paraId="727AFD7C" w14:textId="584DDAFF" w:rsidR="00803459" w:rsidRPr="000B71AF" w:rsidRDefault="00CD40D5" w:rsidP="00CD40D5">
      <w:pPr>
        <w:tabs>
          <w:tab w:val="left" w:pos="5540"/>
        </w:tabs>
        <w:rPr>
          <w:rFonts w:cs="Georgia"/>
          <w:b/>
          <w:bCs/>
          <w:color w:val="000000"/>
          <w:sz w:val="32"/>
          <w:szCs w:val="32"/>
        </w:rPr>
      </w:pPr>
      <w:r>
        <w:rPr>
          <w:rFonts w:cs="Georgia"/>
          <w:b/>
          <w:bCs/>
          <w:color w:val="000000"/>
          <w:sz w:val="32"/>
          <w:szCs w:val="32"/>
        </w:rPr>
        <w:tab/>
      </w:r>
    </w:p>
    <w:p w14:paraId="73270B48" w14:textId="77777777" w:rsidR="00803459" w:rsidRPr="0095723B" w:rsidRDefault="00803459" w:rsidP="009507E1">
      <w:pPr>
        <w:jc w:val="center"/>
        <w:rPr>
          <w:rFonts w:cs="Georgia"/>
          <w:b/>
          <w:bCs/>
          <w:color w:val="000000"/>
        </w:rPr>
      </w:pPr>
    </w:p>
    <w:p w14:paraId="3BE8CBAF" w14:textId="6CDABC3B" w:rsidR="00803459" w:rsidRPr="000B71AF" w:rsidRDefault="00803459">
      <w:pPr>
        <w:rPr>
          <w:rFonts w:cs="Georgia"/>
          <w:b/>
          <w:bCs/>
          <w:color w:val="000000"/>
          <w:sz w:val="32"/>
          <w:szCs w:val="32"/>
        </w:rPr>
      </w:pPr>
      <w:r w:rsidRPr="000B71AF">
        <w:rPr>
          <w:rFonts w:cs="Georgia"/>
          <w:b/>
          <w:bCs/>
          <w:color w:val="000000"/>
          <w:sz w:val="32"/>
          <w:szCs w:val="32"/>
        </w:rPr>
        <w:br w:type="page"/>
      </w:r>
    </w:p>
    <w:p w14:paraId="5C8FC6ED" w14:textId="77777777" w:rsidR="00803459" w:rsidRPr="004F04E4" w:rsidRDefault="00803459" w:rsidP="004F0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center"/>
        <w:rPr>
          <w:rFonts w:cs="Georgia"/>
          <w:color w:val="000000"/>
          <w:sz w:val="28"/>
          <w:szCs w:val="28"/>
          <w:u w:val="single"/>
        </w:rPr>
      </w:pPr>
      <w:r w:rsidRPr="004F04E4">
        <w:rPr>
          <w:rFonts w:cs="Georgia"/>
          <w:color w:val="000000"/>
          <w:sz w:val="28"/>
          <w:szCs w:val="28"/>
          <w:u w:val="single"/>
        </w:rPr>
        <w:lastRenderedPageBreak/>
        <w:t>TABLE OF CONTENTS</w:t>
      </w:r>
    </w:p>
    <w:p w14:paraId="12CF5B00" w14:textId="77777777" w:rsidR="00803459" w:rsidRPr="000B71AF" w:rsidRDefault="00803459" w:rsidP="004F0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color w:val="000000"/>
          <w:sz w:val="28"/>
          <w:szCs w:val="28"/>
        </w:rPr>
      </w:pPr>
      <w:r w:rsidRPr="000B71AF">
        <w:rPr>
          <w:rFonts w:cs="Georgia"/>
          <w:color w:val="000000"/>
          <w:sz w:val="28"/>
          <w:szCs w:val="28"/>
        </w:rPr>
        <w:t>1. Introduction</w:t>
      </w:r>
    </w:p>
    <w:p w14:paraId="37E2CDDE" w14:textId="77777777" w:rsidR="00803459" w:rsidRPr="000B71AF" w:rsidRDefault="00803459" w:rsidP="004F0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color w:val="000000"/>
          <w:sz w:val="28"/>
          <w:szCs w:val="28"/>
        </w:rPr>
      </w:pPr>
      <w:r w:rsidRPr="000B71AF">
        <w:rPr>
          <w:rFonts w:cs="Georgia"/>
          <w:color w:val="000000"/>
          <w:sz w:val="28"/>
          <w:szCs w:val="28"/>
        </w:rPr>
        <w:t>2. Our Vision and Strategic Objectives</w:t>
      </w:r>
    </w:p>
    <w:p w14:paraId="13008056" w14:textId="77777777" w:rsidR="00803459" w:rsidRPr="000B71AF" w:rsidRDefault="00803459" w:rsidP="004F0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color w:val="000000"/>
          <w:sz w:val="28"/>
          <w:szCs w:val="28"/>
        </w:rPr>
      </w:pPr>
      <w:r w:rsidRPr="000B71AF">
        <w:rPr>
          <w:rFonts w:cs="Georgia"/>
          <w:color w:val="000000"/>
          <w:sz w:val="28"/>
          <w:szCs w:val="28"/>
        </w:rPr>
        <w:t>3. Undergraduate Student Success</w:t>
      </w:r>
    </w:p>
    <w:p w14:paraId="1548300C" w14:textId="77777777" w:rsidR="00803459" w:rsidRPr="000B71AF" w:rsidRDefault="00803459" w:rsidP="004F0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color w:val="000000"/>
          <w:sz w:val="28"/>
          <w:szCs w:val="28"/>
        </w:rPr>
      </w:pPr>
      <w:r w:rsidRPr="000B71AF">
        <w:rPr>
          <w:rFonts w:cs="Georgia"/>
          <w:color w:val="000000"/>
          <w:sz w:val="28"/>
          <w:szCs w:val="28"/>
        </w:rPr>
        <w:t>4. Graduate Education</w:t>
      </w:r>
    </w:p>
    <w:p w14:paraId="0D67F6CF" w14:textId="77777777" w:rsidR="00803459" w:rsidRPr="000B71AF" w:rsidRDefault="00803459" w:rsidP="004F0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color w:val="000000"/>
          <w:sz w:val="28"/>
          <w:szCs w:val="28"/>
        </w:rPr>
      </w:pPr>
      <w:r w:rsidRPr="000B71AF">
        <w:rPr>
          <w:rFonts w:cs="Georgia"/>
          <w:color w:val="000000"/>
          <w:sz w:val="28"/>
          <w:szCs w:val="28"/>
        </w:rPr>
        <w:t>5. Diversity and Inclusivity</w:t>
      </w:r>
    </w:p>
    <w:p w14:paraId="68740A62" w14:textId="77777777" w:rsidR="00803459" w:rsidRPr="000B71AF" w:rsidRDefault="00803459" w:rsidP="004F0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color w:val="000000"/>
          <w:sz w:val="28"/>
          <w:szCs w:val="28"/>
        </w:rPr>
      </w:pPr>
      <w:r w:rsidRPr="000B71AF">
        <w:rPr>
          <w:rFonts w:cs="Georgia"/>
          <w:color w:val="000000"/>
          <w:sz w:val="28"/>
          <w:szCs w:val="28"/>
        </w:rPr>
        <w:t>6. Research and Scholarship</w:t>
      </w:r>
    </w:p>
    <w:p w14:paraId="4150746C" w14:textId="77777777" w:rsidR="00803459" w:rsidRPr="000B71AF" w:rsidRDefault="00803459" w:rsidP="004F04E4">
      <w:pPr>
        <w:spacing w:after="240"/>
        <w:rPr>
          <w:rFonts w:cs="Georgia"/>
          <w:color w:val="000000"/>
          <w:sz w:val="28"/>
          <w:szCs w:val="28"/>
        </w:rPr>
      </w:pPr>
      <w:r w:rsidRPr="000B71AF">
        <w:rPr>
          <w:rFonts w:cs="Georgia"/>
          <w:color w:val="000000"/>
          <w:sz w:val="28"/>
          <w:szCs w:val="28"/>
        </w:rPr>
        <w:t xml:space="preserve">7. Outreach and Community Engagement </w:t>
      </w:r>
    </w:p>
    <w:p w14:paraId="5DCBFFEB" w14:textId="77777777" w:rsidR="00803459" w:rsidRPr="000B71AF" w:rsidRDefault="00803459" w:rsidP="004F04E4">
      <w:pPr>
        <w:spacing w:after="240"/>
        <w:ind w:left="360" w:hanging="360"/>
        <w:rPr>
          <w:rFonts w:cs="Georgia"/>
          <w:b/>
          <w:bCs/>
          <w:color w:val="000000"/>
          <w:sz w:val="28"/>
          <w:szCs w:val="28"/>
        </w:rPr>
      </w:pPr>
      <w:r w:rsidRPr="000B71AF">
        <w:rPr>
          <w:rFonts w:cs="Georgia"/>
          <w:color w:val="000000"/>
          <w:sz w:val="28"/>
          <w:szCs w:val="28"/>
        </w:rPr>
        <w:t xml:space="preserve">8. Conclusion: </w:t>
      </w:r>
      <w:r w:rsidRPr="000B71AF">
        <w:rPr>
          <w:rFonts w:cs="Georgia"/>
          <w:bCs/>
          <w:color w:val="000000"/>
          <w:sz w:val="28"/>
          <w:szCs w:val="28"/>
        </w:rPr>
        <w:t>Educating the Clinical, Educational and Research leaders of Tomorrow</w:t>
      </w:r>
    </w:p>
    <w:p w14:paraId="3E024761" w14:textId="78793498" w:rsidR="00F32BC1" w:rsidRPr="000B71AF" w:rsidRDefault="00F32BC1">
      <w:pPr>
        <w:rPr>
          <w:rFonts w:cs="Georgia"/>
          <w:b/>
          <w:bCs/>
          <w:color w:val="000000"/>
          <w:sz w:val="32"/>
          <w:szCs w:val="32"/>
        </w:rPr>
      </w:pPr>
      <w:r w:rsidRPr="000B71AF">
        <w:rPr>
          <w:rFonts w:cs="Georgia"/>
          <w:b/>
          <w:bCs/>
          <w:color w:val="000000"/>
          <w:sz w:val="32"/>
          <w:szCs w:val="32"/>
        </w:rPr>
        <w:br w:type="page"/>
      </w:r>
    </w:p>
    <w:p w14:paraId="69DE353C" w14:textId="4A4D8020" w:rsidR="00AE6A4B" w:rsidRPr="00661B26" w:rsidRDefault="00F32BC1" w:rsidP="00661B26">
      <w:pPr>
        <w:pStyle w:val="Heading1"/>
      </w:pPr>
      <w:r w:rsidRPr="0005344A">
        <w:lastRenderedPageBreak/>
        <w:t>INTRODUCTION</w:t>
      </w:r>
    </w:p>
    <w:p w14:paraId="6973E913" w14:textId="40EC0933" w:rsidR="002D7D6E" w:rsidRDefault="00AE6A4B" w:rsidP="00661B26">
      <w:pPr>
        <w:tabs>
          <w:tab w:val="left" w:pos="4935"/>
        </w:tabs>
        <w:rPr>
          <w:rFonts w:cs="Georgia"/>
          <w:bCs/>
          <w:color w:val="000000"/>
        </w:rPr>
      </w:pPr>
      <w:r w:rsidRPr="00AE6A4B">
        <w:rPr>
          <w:rFonts w:cs="Georgia"/>
          <w:bCs/>
          <w:color w:val="000000"/>
        </w:rPr>
        <w:t>In alignment with the mission of the University of Kentucky</w:t>
      </w:r>
      <w:r w:rsidR="00915461">
        <w:rPr>
          <w:rFonts w:cs="Georgia"/>
          <w:bCs/>
          <w:color w:val="000000"/>
        </w:rPr>
        <w:t xml:space="preserve"> (UK)</w:t>
      </w:r>
      <w:r w:rsidRPr="00AE6A4B">
        <w:rPr>
          <w:rFonts w:cs="Georgia"/>
          <w:bCs/>
          <w:color w:val="000000"/>
        </w:rPr>
        <w:t>, the mission of the College of Health Sciences (CHS) is to “help the people of the Commonwealth of Kentucky and beyond to gain and retain the highest level of health through creative leadership and productivity in education, research, and service.” The College is dedicated to educating frontline entry-level practitioners for the allied health disciplines housed in the CHS as well as educating the clinical, educational</w:t>
      </w:r>
      <w:r w:rsidR="00915461">
        <w:rPr>
          <w:rFonts w:cs="Georgia"/>
          <w:bCs/>
          <w:color w:val="000000"/>
        </w:rPr>
        <w:t>,</w:t>
      </w:r>
      <w:r w:rsidRPr="00AE6A4B">
        <w:rPr>
          <w:rFonts w:cs="Georgia"/>
          <w:bCs/>
          <w:color w:val="000000"/>
        </w:rPr>
        <w:t xml:space="preserve"> and research leaders of tomorrow (</w:t>
      </w:r>
      <w:hyperlink r:id="rId8" w:history="1">
        <w:r w:rsidR="008E5FDF" w:rsidRPr="008E5FDF">
          <w:rPr>
            <w:rStyle w:val="Hyperlink"/>
            <w:rFonts w:cs="Georgia"/>
            <w:bCs/>
          </w:rPr>
          <w:t>http://www.uky.edu/chs/about-us</w:t>
        </w:r>
        <w:r w:rsidR="00D116AF" w:rsidRPr="005721B5">
          <w:rPr>
            <w:rStyle w:val="Hyperlink"/>
            <w:rFonts w:cs="Georgia"/>
            <w:bCs/>
          </w:rPr>
          <w:t>)</w:t>
        </w:r>
      </w:hyperlink>
      <w:r w:rsidR="00A9763E">
        <w:rPr>
          <w:rStyle w:val="Hyperlink"/>
          <w:rFonts w:cs="Georgia"/>
          <w:bCs/>
        </w:rPr>
        <w:t>.</w:t>
      </w:r>
      <w:r w:rsidR="00A9763E">
        <w:rPr>
          <w:rFonts w:cs="Georgia"/>
          <w:bCs/>
          <w:color w:val="000000"/>
        </w:rPr>
        <w:t xml:space="preserve">  We are</w:t>
      </w:r>
      <w:r w:rsidR="00D116AF">
        <w:rPr>
          <w:rFonts w:cs="Georgia"/>
          <w:bCs/>
          <w:color w:val="000000"/>
        </w:rPr>
        <w:t xml:space="preserve"> the Gateway to the </w:t>
      </w:r>
      <w:r w:rsidR="0081571A">
        <w:rPr>
          <w:rFonts w:cs="Georgia"/>
          <w:bCs/>
          <w:color w:val="000000"/>
        </w:rPr>
        <w:t>Health Sciences</w:t>
      </w:r>
      <w:r>
        <w:rPr>
          <w:rFonts w:cs="Georgia"/>
          <w:bCs/>
          <w:color w:val="000000"/>
        </w:rPr>
        <w:t xml:space="preserve">. </w:t>
      </w:r>
    </w:p>
    <w:p w14:paraId="6C9A05C0" w14:textId="77777777" w:rsidR="002D7D6E" w:rsidRPr="002D7D6E" w:rsidRDefault="002D7D6E" w:rsidP="002D7D6E">
      <w:pPr>
        <w:tabs>
          <w:tab w:val="left" w:pos="4935"/>
        </w:tabs>
        <w:rPr>
          <w:rFonts w:cs="Georgia"/>
          <w:bCs/>
          <w:color w:val="000000"/>
        </w:rPr>
      </w:pPr>
      <w:r w:rsidRPr="002D7D6E">
        <w:rPr>
          <w:rFonts w:cs="Georgia"/>
          <w:bCs/>
          <w:color w:val="000000"/>
        </w:rPr>
        <w:t>The source of our passion is our mission, which is centered on education, research, and service. We are driven by the desire to help people attain the highest level of health possible. Everything we do leads toward one outcome: optimal health. Whether it is educating the next generation of competent, compassionate health care providers, engaging in research with the end-goal of helping people attain better health, or providing frontline patient care, CHS is committed to fulfilling the University's Kentucky Promise.</w:t>
      </w:r>
    </w:p>
    <w:p w14:paraId="1EC17E7B" w14:textId="0A339A88" w:rsidR="002D7D6E" w:rsidRDefault="002D7D6E" w:rsidP="00661B26">
      <w:pPr>
        <w:tabs>
          <w:tab w:val="left" w:pos="4935"/>
        </w:tabs>
        <w:rPr>
          <w:rFonts w:cs="Georgia"/>
          <w:bCs/>
          <w:color w:val="000000"/>
        </w:rPr>
      </w:pPr>
      <w:r w:rsidRPr="002D7D6E">
        <w:rPr>
          <w:rFonts w:cs="Georgia"/>
          <w:bCs/>
          <w:color w:val="000000"/>
        </w:rPr>
        <w:t>The Kentucky Promise is a powerful motivator for our College, and we embrace the responsibilities inherent in fulfilling that Promise. We take to heart the words of UK President Eli Capilouto, who upon acceptance of his position said: "UK is a promise we have made to each other that says that [students] from all walks of life, backgrounds and experiences are welcome here … and that they leave as our best and brightest because we foster their potential and brilliance."</w:t>
      </w:r>
    </w:p>
    <w:p w14:paraId="23683121" w14:textId="575EA959" w:rsidR="00D03125" w:rsidRPr="0076196C" w:rsidRDefault="00AE6A4B" w:rsidP="0076196C">
      <w:pPr>
        <w:tabs>
          <w:tab w:val="left" w:pos="4935"/>
        </w:tabs>
        <w:rPr>
          <w:rFonts w:cs="Georgia"/>
          <w:bCs/>
          <w:color w:val="000000"/>
        </w:rPr>
      </w:pPr>
      <w:r w:rsidRPr="00AE6A4B">
        <w:rPr>
          <w:rFonts w:cs="Georgia"/>
          <w:bCs/>
          <w:color w:val="000000"/>
        </w:rPr>
        <w:t>The 2015-</w:t>
      </w:r>
      <w:r w:rsidR="00BA219B">
        <w:rPr>
          <w:rFonts w:cs="Georgia"/>
          <w:bCs/>
          <w:color w:val="000000"/>
        </w:rPr>
        <w:t>20</w:t>
      </w:r>
      <w:r>
        <w:rPr>
          <w:rFonts w:cs="Georgia"/>
          <w:bCs/>
          <w:color w:val="000000"/>
        </w:rPr>
        <w:t xml:space="preserve">21 CHS Strategic Plan is aligned with the University </w:t>
      </w:r>
      <w:r w:rsidR="00D116AF">
        <w:rPr>
          <w:rFonts w:cs="Georgia"/>
          <w:bCs/>
          <w:color w:val="000000"/>
        </w:rPr>
        <w:t>Strategic</w:t>
      </w:r>
      <w:r>
        <w:rPr>
          <w:rFonts w:cs="Georgia"/>
          <w:bCs/>
          <w:color w:val="000000"/>
        </w:rPr>
        <w:t xml:space="preserve"> Plan</w:t>
      </w:r>
      <w:r w:rsidR="00D116AF">
        <w:rPr>
          <w:rFonts w:cs="Georgia"/>
          <w:bCs/>
          <w:color w:val="000000"/>
        </w:rPr>
        <w:t xml:space="preserve">. </w:t>
      </w:r>
      <w:r w:rsidR="00D116AF">
        <w:t>T</w:t>
      </w:r>
      <w:r w:rsidR="00D03125">
        <w:t>he College of Health Sciences has used the strategic planning process of the University of Kentucky to strengthen the core mission of the college and to m</w:t>
      </w:r>
      <w:r w:rsidR="00D116AF">
        <w:t>ove in new directions. This 2015-2021</w:t>
      </w:r>
      <w:r w:rsidR="00D03125">
        <w:t xml:space="preserve"> Strategic Plan will further refine and focus our goals on the tenets of education, research</w:t>
      </w:r>
      <w:r w:rsidR="00554CA4">
        <w:t>,</w:t>
      </w:r>
      <w:r w:rsidR="00D03125">
        <w:t xml:space="preserve"> and outreach, ensuring continued growth and success of our students, faculty, staff</w:t>
      </w:r>
      <w:r w:rsidR="00554CA4">
        <w:t>,</w:t>
      </w:r>
      <w:r w:rsidR="00D03125">
        <w:t xml:space="preserve"> and our College.</w:t>
      </w:r>
      <w:r w:rsidR="0076196C">
        <w:rPr>
          <w:rFonts w:cs="Georgia"/>
          <w:bCs/>
          <w:color w:val="000000"/>
        </w:rPr>
        <w:t xml:space="preserve">  </w:t>
      </w:r>
      <w:r w:rsidR="00D03125">
        <w:t>A strategic plan forms the framework for setting goals.  The vision of the college is realized through these goals and the steps identified to achieve them. Continual measurement of progress allows for creative use of resources and an ability to change directions when needed.</w:t>
      </w:r>
    </w:p>
    <w:p w14:paraId="6C8F743E" w14:textId="566B4F68" w:rsidR="005109E1" w:rsidRPr="000B71AF" w:rsidRDefault="005109E1">
      <w:pPr>
        <w:rPr>
          <w:rFonts w:cs="Georgia"/>
          <w:b/>
          <w:bCs/>
          <w:color w:val="000000"/>
        </w:rPr>
      </w:pPr>
      <w:r w:rsidRPr="000B71AF">
        <w:rPr>
          <w:rFonts w:cs="Georgia"/>
          <w:b/>
          <w:bCs/>
          <w:color w:val="000000"/>
        </w:rPr>
        <w:br w:type="page"/>
      </w:r>
    </w:p>
    <w:p w14:paraId="6DD21D5F" w14:textId="24B1D080" w:rsidR="005109E1" w:rsidRPr="004F04E4" w:rsidRDefault="00D116AF" w:rsidP="0005344A">
      <w:pPr>
        <w:pStyle w:val="Heading1"/>
      </w:pPr>
      <w:r>
        <w:lastRenderedPageBreak/>
        <w:t xml:space="preserve">Our VISION and </w:t>
      </w:r>
      <w:r w:rsidR="005109E1" w:rsidRPr="004F04E4">
        <w:t>STRATEGIC OBJECTIVES</w:t>
      </w:r>
    </w:p>
    <w:p w14:paraId="465531D4" w14:textId="77777777" w:rsidR="00D116AF" w:rsidRPr="00661B26" w:rsidRDefault="00D116AF" w:rsidP="00D116AF">
      <w:pPr>
        <w:spacing w:after="0"/>
        <w:rPr>
          <w:rFonts w:eastAsia="Times New Roman" w:cs="Times New Roman"/>
          <w:b/>
          <w:color w:val="333333"/>
          <w:u w:val="single"/>
          <w:shd w:val="clear" w:color="auto" w:fill="FFFFFF"/>
        </w:rPr>
      </w:pPr>
      <w:r w:rsidRPr="00661B26">
        <w:rPr>
          <w:rFonts w:eastAsia="Times New Roman" w:cs="Times New Roman"/>
          <w:b/>
          <w:color w:val="333333"/>
          <w:u w:val="single"/>
          <w:shd w:val="clear" w:color="auto" w:fill="FFFFFF"/>
        </w:rPr>
        <w:t>VISION</w:t>
      </w:r>
    </w:p>
    <w:p w14:paraId="442A21C9" w14:textId="77777777" w:rsidR="00D116AF" w:rsidRPr="00661B26" w:rsidRDefault="00D116AF" w:rsidP="00D116AF">
      <w:pPr>
        <w:spacing w:after="0"/>
        <w:rPr>
          <w:rFonts w:eastAsia="Times New Roman" w:cs="Times New Roman"/>
          <w:color w:val="333333"/>
          <w:shd w:val="clear" w:color="auto" w:fill="FFFFFF"/>
        </w:rPr>
      </w:pPr>
    </w:p>
    <w:p w14:paraId="3170901B" w14:textId="1A2FFD68" w:rsidR="00D116AF" w:rsidRPr="00D116AF" w:rsidRDefault="00D116AF" w:rsidP="00D116AF">
      <w:pPr>
        <w:spacing w:after="0"/>
        <w:rPr>
          <w:rFonts w:eastAsia="Times New Roman" w:cs="Times New Roman"/>
        </w:rPr>
      </w:pPr>
      <w:r w:rsidRPr="00D116AF">
        <w:rPr>
          <w:rFonts w:eastAsia="Times New Roman" w:cs="Times New Roman"/>
          <w:color w:val="333333"/>
          <w:shd w:val="clear" w:color="auto" w:fill="FFFFFF"/>
        </w:rPr>
        <w:t>The mission of the University of Kentucky College of Health Sciences (CHS) is to help the people of the Commonwealth of Kentucky and beyond attain the highest level of health possible. We fulfill our mission through creative leadership and productivity in education, research, and service.</w:t>
      </w:r>
      <w:r w:rsidRPr="00661B26">
        <w:rPr>
          <w:rFonts w:eastAsia="Times New Roman" w:cs="Times New Roman"/>
          <w:color w:val="333333"/>
          <w:shd w:val="clear" w:color="auto" w:fill="FFFFFF"/>
        </w:rPr>
        <w:t xml:space="preserve">  Our vision is to serve as the Gateway to the Health Sciences. </w:t>
      </w:r>
    </w:p>
    <w:p w14:paraId="54988A8D" w14:textId="77777777" w:rsidR="00D116AF" w:rsidRDefault="00D116AF" w:rsidP="0005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b/>
          <w:bCs/>
          <w:color w:val="000000"/>
          <w:u w:val="single"/>
        </w:rPr>
      </w:pPr>
    </w:p>
    <w:p w14:paraId="021A1364" w14:textId="77777777" w:rsidR="005109E1" w:rsidRPr="000B71AF" w:rsidRDefault="005109E1" w:rsidP="0005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b/>
          <w:bCs/>
          <w:color w:val="000000"/>
          <w:u w:val="single"/>
        </w:rPr>
      </w:pPr>
      <w:r w:rsidRPr="000B71AF">
        <w:rPr>
          <w:rFonts w:cs="Georgia"/>
          <w:b/>
          <w:bCs/>
          <w:color w:val="000000"/>
          <w:u w:val="single"/>
        </w:rPr>
        <w:t>Undergraduate Student Success</w:t>
      </w:r>
    </w:p>
    <w:p w14:paraId="3D66A2DE" w14:textId="720E6F1B" w:rsidR="005109E1" w:rsidRPr="000B71AF" w:rsidRDefault="004F04E4" w:rsidP="0005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cs="Georgia"/>
          <w:b/>
          <w:bCs/>
          <w:color w:val="000000"/>
        </w:rPr>
      </w:pPr>
      <w:r>
        <w:rPr>
          <w:rFonts w:cs="Georgia"/>
          <w:b/>
          <w:bCs/>
          <w:color w:val="000000"/>
        </w:rPr>
        <w:tab/>
      </w:r>
      <w:r w:rsidR="005109E1" w:rsidRPr="000B71AF">
        <w:rPr>
          <w:rFonts w:cs="Georgia"/>
          <w:b/>
          <w:bCs/>
          <w:color w:val="000000"/>
        </w:rPr>
        <w:t>To be the University of choice for aspiring undergraduate students within the Commonwealth and beyond, seeking a transformational education that promotes self-discovery, experiential learning, and life-long achievement.</w:t>
      </w:r>
    </w:p>
    <w:p w14:paraId="2582F9B1" w14:textId="77777777" w:rsidR="005109E1" w:rsidRPr="000B71AF" w:rsidRDefault="005109E1" w:rsidP="0005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b/>
          <w:bCs/>
          <w:color w:val="000000"/>
          <w:u w:val="single"/>
        </w:rPr>
      </w:pPr>
      <w:r w:rsidRPr="000B71AF">
        <w:rPr>
          <w:rFonts w:cs="Georgia"/>
          <w:b/>
          <w:bCs/>
          <w:color w:val="000000"/>
          <w:u w:val="single"/>
        </w:rPr>
        <w:t>Graduate Education</w:t>
      </w:r>
    </w:p>
    <w:p w14:paraId="2CB1BA04" w14:textId="2EC962AF" w:rsidR="005109E1" w:rsidRPr="000B71AF" w:rsidRDefault="004F04E4" w:rsidP="0005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cs="Georgia"/>
          <w:b/>
          <w:bCs/>
          <w:color w:val="000000"/>
        </w:rPr>
      </w:pPr>
      <w:r>
        <w:rPr>
          <w:rFonts w:cs="Georgia"/>
          <w:b/>
          <w:bCs/>
          <w:color w:val="000000"/>
        </w:rPr>
        <w:tab/>
      </w:r>
      <w:r w:rsidR="005109E1" w:rsidRPr="000B71AF">
        <w:rPr>
          <w:rFonts w:cs="Georgia"/>
          <w:b/>
          <w:bCs/>
          <w:color w:val="000000"/>
        </w:rPr>
        <w:t>Strengthen the quality and distinctiveness of our graduate programs to transform our students into accomplished scholars and professionals who contribute to the Commonwealth, the nation, and the world through their research and discovery, creative endeavors, teaching, and service.</w:t>
      </w:r>
    </w:p>
    <w:p w14:paraId="393A0691" w14:textId="77777777" w:rsidR="005109E1" w:rsidRPr="000B71AF" w:rsidRDefault="005109E1" w:rsidP="0005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b/>
          <w:bCs/>
          <w:color w:val="000000"/>
          <w:u w:val="single"/>
        </w:rPr>
      </w:pPr>
      <w:r w:rsidRPr="000B71AF">
        <w:rPr>
          <w:rFonts w:cs="Georgia"/>
          <w:b/>
          <w:bCs/>
          <w:color w:val="000000"/>
          <w:u w:val="single"/>
        </w:rPr>
        <w:t>Diversity and Inclusivity</w:t>
      </w:r>
    </w:p>
    <w:p w14:paraId="021ABDB9" w14:textId="7EDBA16C" w:rsidR="005109E1" w:rsidRPr="000B71AF" w:rsidRDefault="004F04E4" w:rsidP="0005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cs="Georgia"/>
          <w:b/>
          <w:bCs/>
          <w:color w:val="000000"/>
        </w:rPr>
      </w:pPr>
      <w:r>
        <w:rPr>
          <w:rFonts w:cs="Georgia"/>
          <w:b/>
          <w:bCs/>
          <w:color w:val="000000"/>
        </w:rPr>
        <w:tab/>
      </w:r>
      <w:r w:rsidR="005109E1" w:rsidRPr="000B71AF">
        <w:rPr>
          <w:rFonts w:cs="Georgia"/>
          <w:b/>
          <w:bCs/>
          <w:color w:val="000000"/>
        </w:rPr>
        <w:t>Enhance the diversity and inclusivity of our University community through recruitment, promotion, and retention of an increasingly diverse population of faculty, administrators, staff, and students, and by implementing initiatives that provide rich diversity-related experiences for all to help ensure their success in an interconnected world.</w:t>
      </w:r>
    </w:p>
    <w:p w14:paraId="56ED1BE7" w14:textId="77777777" w:rsidR="005109E1" w:rsidRPr="000B71AF" w:rsidRDefault="005109E1" w:rsidP="0005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b/>
          <w:bCs/>
          <w:color w:val="000000"/>
          <w:u w:val="single"/>
        </w:rPr>
      </w:pPr>
      <w:r w:rsidRPr="000B71AF">
        <w:rPr>
          <w:rFonts w:cs="Georgia"/>
          <w:b/>
          <w:bCs/>
          <w:color w:val="000000"/>
          <w:u w:val="single"/>
        </w:rPr>
        <w:t>Research and Scholarship</w:t>
      </w:r>
    </w:p>
    <w:p w14:paraId="61544183" w14:textId="4ACCA1DF" w:rsidR="005109E1" w:rsidRPr="000B71AF" w:rsidRDefault="004F04E4" w:rsidP="0005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cs="Georgia"/>
          <w:b/>
          <w:bCs/>
          <w:color w:val="000000"/>
          <w:u w:val="single"/>
        </w:rPr>
      </w:pPr>
      <w:r>
        <w:rPr>
          <w:rFonts w:cs="Georgia"/>
          <w:b/>
          <w:bCs/>
          <w:color w:val="000000"/>
        </w:rPr>
        <w:tab/>
      </w:r>
      <w:r w:rsidR="005109E1" w:rsidRPr="000B71AF">
        <w:rPr>
          <w:rFonts w:cs="Georgia"/>
          <w:b/>
          <w:bCs/>
          <w:color w:val="000000"/>
        </w:rPr>
        <w:t>Expand our scholarship, creative endeavors, and research across the full range of disciplines to focus on the most important challenges of the Commonwealth, our nation, and the world.</w:t>
      </w:r>
    </w:p>
    <w:p w14:paraId="78623233" w14:textId="77777777" w:rsidR="005109E1" w:rsidRPr="000B71AF" w:rsidRDefault="005109E1" w:rsidP="0005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Georgia"/>
          <w:b/>
          <w:bCs/>
          <w:color w:val="000000"/>
          <w:u w:val="single"/>
        </w:rPr>
      </w:pPr>
      <w:r w:rsidRPr="000B71AF">
        <w:rPr>
          <w:rFonts w:cs="Georgia"/>
          <w:b/>
          <w:bCs/>
          <w:color w:val="000000"/>
          <w:u w:val="single"/>
        </w:rPr>
        <w:t>Outreach and Community Engagement</w:t>
      </w:r>
    </w:p>
    <w:p w14:paraId="0FB6C2DD" w14:textId="6593AC8C" w:rsidR="00797021" w:rsidRPr="000B71AF" w:rsidRDefault="005109E1" w:rsidP="00611828">
      <w:pPr>
        <w:spacing w:after="480"/>
        <w:ind w:firstLine="540"/>
        <w:rPr>
          <w:rFonts w:cs="Georgia"/>
          <w:b/>
          <w:bCs/>
          <w:color w:val="000000"/>
        </w:rPr>
      </w:pPr>
      <w:r w:rsidRPr="000B71AF">
        <w:rPr>
          <w:rFonts w:cs="Georgia"/>
          <w:b/>
          <w:bCs/>
          <w:color w:val="000000"/>
        </w:rPr>
        <w:t>Leverage leading-edge technology, scholarship, and research in innovative ways to advance the public good and to foster the development of citizen-scholars.</w:t>
      </w:r>
    </w:p>
    <w:p w14:paraId="502B49F7" w14:textId="77777777" w:rsidR="0005344A" w:rsidRDefault="00855182" w:rsidP="00516BE6">
      <w:pPr>
        <w:pStyle w:val="Heading1"/>
        <w:spacing w:after="0"/>
      </w:pPr>
      <w:r w:rsidRPr="0005344A">
        <w:lastRenderedPageBreak/>
        <w:t>STRATEGIC OBJECTIVE:</w:t>
      </w:r>
      <w:r w:rsidR="0005344A">
        <w:t xml:space="preserve"> </w:t>
      </w:r>
    </w:p>
    <w:p w14:paraId="625F47AE" w14:textId="27C159BB" w:rsidR="00855182" w:rsidRPr="0005344A" w:rsidRDefault="00855182" w:rsidP="0005344A">
      <w:pPr>
        <w:pStyle w:val="Heading1"/>
        <w:numPr>
          <w:ilvl w:val="0"/>
          <w:numId w:val="0"/>
        </w:numPr>
        <w:ind w:left="360"/>
      </w:pPr>
      <w:r w:rsidRPr="0005344A">
        <w:t>UNDERGRADUATE STUDENT SUCCESS</w:t>
      </w:r>
    </w:p>
    <w:p w14:paraId="71445488" w14:textId="2FE76091" w:rsidR="0005344A" w:rsidRPr="000B71AF" w:rsidRDefault="0005344A" w:rsidP="00136CCF">
      <w:pPr>
        <w:pStyle w:val="Heading4a"/>
      </w:pPr>
      <w:r w:rsidRPr="000B71AF">
        <w:t>To be the University of choice for aspiring undergraduate students within the Commonwealth and beyond, seeking a transformational education that promotes self-discovery, experiential learning, and life-long achievement.</w:t>
      </w:r>
    </w:p>
    <w:p w14:paraId="24F4E064" w14:textId="6D4F624E" w:rsidR="00855182" w:rsidRDefault="00855182" w:rsidP="0005344A">
      <w:r>
        <w:t xml:space="preserve">The College of Health Sciences strives to provide a transformative education that supports the healthcare workforce of tomorrow.  </w:t>
      </w:r>
      <w:r w:rsidR="00E079BA">
        <w:t>The</w:t>
      </w:r>
      <w:r w:rsidR="005615BB">
        <w:t xml:space="preserve"> College</w:t>
      </w:r>
      <w:r>
        <w:t xml:space="preserve"> is dedicated to enhancing student success.  Our mission is to recruit, admit, support, and graduate an </w:t>
      </w:r>
      <w:proofErr w:type="spellStart"/>
      <w:r>
        <w:t>interprofessional</w:t>
      </w:r>
      <w:proofErr w:type="spellEnd"/>
      <w:r>
        <w:t xml:space="preserve"> community of learners prepared for engaged citizenship. We will create and nurture an environment inspired by professionalism, rigor, diversity</w:t>
      </w:r>
      <w:r w:rsidR="00554CA4">
        <w:t>,</w:t>
      </w:r>
      <w:r>
        <w:t xml:space="preserve"> and inclusion.  In order to provide this state of the art transformat</w:t>
      </w:r>
      <w:r w:rsidR="00005CA6">
        <w:t>ive student centered education, we will focus on</w:t>
      </w:r>
      <w:r>
        <w:t xml:space="preserve"> targeted strategic investments in faculty, staff, and co-curricular resources dedicated to student success.</w:t>
      </w:r>
    </w:p>
    <w:p w14:paraId="64009320" w14:textId="05192964" w:rsidR="0005344A" w:rsidRPr="0005344A" w:rsidRDefault="0005344A" w:rsidP="002C2BB3">
      <w:pPr>
        <w:pStyle w:val="Heading2"/>
      </w:pPr>
      <w:r w:rsidRPr="0005344A">
        <w:t>Strategic Initiatives and Action Steps</w:t>
      </w:r>
    </w:p>
    <w:p w14:paraId="0158FB2A" w14:textId="2FA02E0C" w:rsidR="00855182" w:rsidRPr="000E1CF9" w:rsidRDefault="00855182" w:rsidP="001A4BB6">
      <w:pPr>
        <w:pStyle w:val="Heading3a"/>
      </w:pPr>
      <w:r w:rsidRPr="000E1CF9">
        <w:t xml:space="preserve">CHS Strategic Initiative 1: Enhance the success of our increasingly diverse student body and help ensure timely degree completion and career planning through high-impact, student-centered support systems. </w:t>
      </w:r>
    </w:p>
    <w:p w14:paraId="36BADD7B" w14:textId="690E5243" w:rsidR="00855182" w:rsidRPr="00E34CF2" w:rsidRDefault="00E34CF2" w:rsidP="00E34CF2">
      <w:pPr>
        <w:pStyle w:val="ListParagraph"/>
      </w:pPr>
      <w:r w:rsidRPr="00E34CF2">
        <w:rPr>
          <w:u w:val="single"/>
        </w:rPr>
        <w:t>Action Step 1</w:t>
      </w:r>
      <w:r>
        <w:t xml:space="preserve">: </w:t>
      </w:r>
      <w:r w:rsidR="00855182" w:rsidRPr="00E34CF2">
        <w:t>Embrace a holistic undergraduate admission process to ensure a more diverse student population and to facilitate admission of highly qualified student cohorts.</w:t>
      </w:r>
    </w:p>
    <w:p w14:paraId="39CF793F" w14:textId="39CCB479" w:rsidR="00855182" w:rsidRPr="00E34CF2" w:rsidRDefault="00E34CF2" w:rsidP="00E34CF2">
      <w:pPr>
        <w:pStyle w:val="ListParagraph"/>
      </w:pPr>
      <w:r w:rsidRPr="00E34CF2">
        <w:rPr>
          <w:u w:val="single"/>
        </w:rPr>
        <w:t xml:space="preserve">Action Step </w:t>
      </w:r>
      <w:r>
        <w:rPr>
          <w:u w:val="single"/>
        </w:rPr>
        <w:t>2</w:t>
      </w:r>
      <w:r>
        <w:t xml:space="preserve">: </w:t>
      </w:r>
      <w:r w:rsidR="00855182" w:rsidRPr="00E34CF2">
        <w:t xml:space="preserve">Expand our current high caliber, high-touch advising and first-year and second-year experience programs to support our students’ wellness including academic, financial, mental and physical health, and sense of belonging. </w:t>
      </w:r>
    </w:p>
    <w:p w14:paraId="48F95415" w14:textId="2CB15809" w:rsidR="00835E16" w:rsidRPr="00E34CF2" w:rsidRDefault="00E34CF2" w:rsidP="00E34CF2">
      <w:pPr>
        <w:pStyle w:val="ListParagraph"/>
      </w:pPr>
      <w:r w:rsidRPr="00E34CF2">
        <w:rPr>
          <w:u w:val="single"/>
        </w:rPr>
        <w:t xml:space="preserve">Action Step </w:t>
      </w:r>
      <w:r>
        <w:rPr>
          <w:u w:val="single"/>
        </w:rPr>
        <w:t>3</w:t>
      </w:r>
      <w:r>
        <w:t xml:space="preserve">: </w:t>
      </w:r>
      <w:r w:rsidR="00855182" w:rsidRPr="00E34CF2">
        <w:t>Provide classroom and co-curricular opportunities integrated with professional pathway programming and career development to improve student success and timely degree progression.</w:t>
      </w:r>
    </w:p>
    <w:p w14:paraId="1819B883" w14:textId="227AD43E" w:rsidR="00855182" w:rsidRDefault="00E34CF2" w:rsidP="00E34CF2">
      <w:pPr>
        <w:pStyle w:val="ListParagraph"/>
      </w:pPr>
      <w:r w:rsidRPr="00E34CF2">
        <w:rPr>
          <w:u w:val="single"/>
        </w:rPr>
        <w:t xml:space="preserve">Action Step </w:t>
      </w:r>
      <w:r>
        <w:rPr>
          <w:u w:val="single"/>
        </w:rPr>
        <w:t>4</w:t>
      </w:r>
      <w:r>
        <w:t xml:space="preserve">: </w:t>
      </w:r>
      <w:r w:rsidR="00855182" w:rsidRPr="00E34CF2">
        <w:t xml:space="preserve">Expand scholarships for addressing the unmet need of all CHS students. </w:t>
      </w:r>
    </w:p>
    <w:p w14:paraId="5D2D15EE" w14:textId="4467E355" w:rsidR="00E34CF2" w:rsidRDefault="00E34CF2">
      <w:pPr>
        <w:spacing w:after="0"/>
      </w:pPr>
      <w:r>
        <w:br w:type="page"/>
      </w:r>
    </w:p>
    <w:p w14:paraId="7686738A" w14:textId="77777777" w:rsidR="00855182" w:rsidRPr="000B71AF" w:rsidRDefault="00855182" w:rsidP="00E12931">
      <w:pPr>
        <w:pStyle w:val="Heading3a"/>
      </w:pPr>
      <w:r w:rsidRPr="00AA28C5">
        <w:lastRenderedPageBreak/>
        <w:t>CHS Strategic Initiative 2:</w:t>
      </w:r>
      <w:r w:rsidRPr="000B71AF">
        <w:t xml:space="preserve"> Create and support a learning environment that promotes professionalism, intercultural competence, and critical problem solving skills for developing future healthcare leaders by cultivating innovative curricular offerings and transformational teaching modalities.</w:t>
      </w:r>
    </w:p>
    <w:p w14:paraId="05AB23A3" w14:textId="038FCCA7" w:rsidR="00A200C3" w:rsidRPr="009507E1" w:rsidRDefault="00E34CF2" w:rsidP="00B636AF">
      <w:pPr>
        <w:pStyle w:val="ListParagraph"/>
      </w:pPr>
      <w:r w:rsidRPr="00E34CF2">
        <w:rPr>
          <w:u w:val="single"/>
        </w:rPr>
        <w:t>Action Step 1</w:t>
      </w:r>
      <w:r>
        <w:t xml:space="preserve">: </w:t>
      </w:r>
      <w:r w:rsidR="00607F96">
        <w:t>Review</w:t>
      </w:r>
      <w:r w:rsidR="00855182" w:rsidRPr="009507E1">
        <w:t xml:space="preserve"> the College’s undergraduate programs and build on current strengths of existing programs, certificates, and min</w:t>
      </w:r>
      <w:r w:rsidR="00931948">
        <w:t>ors and look for more effective and</w:t>
      </w:r>
      <w:r w:rsidR="00855182" w:rsidRPr="009507E1">
        <w:t xml:space="preserve"> efficient program deliveries</w:t>
      </w:r>
      <w:r w:rsidR="00D00F29">
        <w:t xml:space="preserve"> and growth opportunities</w:t>
      </w:r>
      <w:r w:rsidR="00855182" w:rsidRPr="009507E1">
        <w:t>.</w:t>
      </w:r>
    </w:p>
    <w:p w14:paraId="44EE56FC" w14:textId="603B1BBE" w:rsidR="00855182" w:rsidRPr="00AA28C5" w:rsidRDefault="00E34CF2" w:rsidP="00B636AF">
      <w:pPr>
        <w:pStyle w:val="ListParagraph"/>
      </w:pPr>
      <w:r>
        <w:rPr>
          <w:u w:val="single"/>
        </w:rPr>
        <w:t>Action Step 2</w:t>
      </w:r>
      <w:r>
        <w:t xml:space="preserve">: </w:t>
      </w:r>
      <w:r w:rsidR="00855182" w:rsidRPr="00AA28C5">
        <w:t xml:space="preserve">Continue to support and expand faculty opportunities to </w:t>
      </w:r>
      <w:r w:rsidR="00855182" w:rsidRPr="00A200C3">
        <w:rPr>
          <w:rFonts w:cs="Georgia"/>
        </w:rPr>
        <w:t xml:space="preserve">identify, implement, and assess leading-edge teaching practices </w:t>
      </w:r>
      <w:r w:rsidR="00855182" w:rsidRPr="00AA28C5">
        <w:t>to improve student outcomes and instructional efficacy.</w:t>
      </w:r>
    </w:p>
    <w:p w14:paraId="068BC97B" w14:textId="26A5B3C5" w:rsidR="00855182" w:rsidRPr="000B71AF" w:rsidRDefault="00E34CF2" w:rsidP="00B636AF">
      <w:pPr>
        <w:pStyle w:val="ListParagraph"/>
      </w:pPr>
      <w:r>
        <w:rPr>
          <w:u w:val="single"/>
        </w:rPr>
        <w:t>Action Step 3</w:t>
      </w:r>
      <w:r>
        <w:t>: I</w:t>
      </w:r>
      <w:r w:rsidR="00855182" w:rsidRPr="000B71AF">
        <w:t xml:space="preserve">ntegrate professionalism, service-learning, intercultural learning, and problem-based learning into current course offerings so that students are prepared for interdisciplinary leadership in a rapidly evolving healthcare workplace. </w:t>
      </w:r>
    </w:p>
    <w:p w14:paraId="04FD28C8" w14:textId="59A5397D" w:rsidR="00855182" w:rsidRPr="000B71AF" w:rsidRDefault="00855182" w:rsidP="00E12931">
      <w:pPr>
        <w:pStyle w:val="Heading3a"/>
      </w:pPr>
      <w:r w:rsidRPr="0095723B">
        <w:t>CHS Strategic Initiative 3: Broaden</w:t>
      </w:r>
      <w:r w:rsidRPr="000B71AF">
        <w:t>, deepen, and personalize student learning by supporting and coordinating</w:t>
      </w:r>
      <w:r w:rsidR="00D738BC">
        <w:t xml:space="preserve"> experience-rich opportunities</w:t>
      </w:r>
      <w:r w:rsidRPr="000B71AF">
        <w:t xml:space="preserve"> that encourage self-reflection, engaged citizenship, and life-long learning</w:t>
      </w:r>
      <w:r w:rsidR="001A0965">
        <w:t>.</w:t>
      </w:r>
    </w:p>
    <w:p w14:paraId="42B7FE58" w14:textId="63D6296A" w:rsidR="00855182" w:rsidRPr="000B71AF" w:rsidRDefault="000A2256" w:rsidP="00B636AF">
      <w:pPr>
        <w:pStyle w:val="ListParagraph"/>
      </w:pPr>
      <w:r w:rsidRPr="00E34CF2">
        <w:rPr>
          <w:u w:val="single"/>
        </w:rPr>
        <w:t xml:space="preserve">Action Step </w:t>
      </w:r>
      <w:r>
        <w:rPr>
          <w:u w:val="single"/>
        </w:rPr>
        <w:t>1</w:t>
      </w:r>
      <w:r>
        <w:t xml:space="preserve">: </w:t>
      </w:r>
      <w:r w:rsidR="00855182" w:rsidRPr="000B71AF">
        <w:t>Encourage and support transformative learning by providing high-impact programs and practices designed to broaden worldviews as well as improve professionalism, communication skills, and global citizenship.</w:t>
      </w:r>
    </w:p>
    <w:p w14:paraId="27A549D1" w14:textId="0289B02C" w:rsidR="00855182" w:rsidRPr="000B71AF" w:rsidRDefault="000A2256" w:rsidP="00B636AF">
      <w:pPr>
        <w:pStyle w:val="ListParagraph"/>
      </w:pPr>
      <w:r w:rsidRPr="00E34CF2">
        <w:rPr>
          <w:u w:val="single"/>
        </w:rPr>
        <w:t xml:space="preserve">Action Step </w:t>
      </w:r>
      <w:r>
        <w:rPr>
          <w:u w:val="single"/>
        </w:rPr>
        <w:t>2</w:t>
      </w:r>
      <w:r>
        <w:t xml:space="preserve">: </w:t>
      </w:r>
      <w:r w:rsidR="00855182" w:rsidRPr="005F2A57">
        <w:t xml:space="preserve">Integrate curricular and co-curricular activities </w:t>
      </w:r>
      <w:r w:rsidR="00855182" w:rsidRPr="001B7F71">
        <w:t>designed to promote student engagement, diversity, and retention</w:t>
      </w:r>
      <w:r w:rsidR="00592E20">
        <w:t xml:space="preserve"> </w:t>
      </w:r>
      <w:r w:rsidR="005F2A57">
        <w:t>(</w:t>
      </w:r>
      <w:r w:rsidR="00AF5D03">
        <w:t>e</w:t>
      </w:r>
      <w:r w:rsidR="00592E20">
        <w:t xml:space="preserve">xamples where activities will be developed include: </w:t>
      </w:r>
      <w:r w:rsidR="00855182">
        <w:t>living-learning programs, research, education abroad, and professional clubs</w:t>
      </w:r>
      <w:r w:rsidR="005F2A57">
        <w:t>).</w:t>
      </w:r>
    </w:p>
    <w:p w14:paraId="0B0D9438" w14:textId="36E62417" w:rsidR="00855182" w:rsidRPr="000B71AF" w:rsidRDefault="000A2256" w:rsidP="00B636AF">
      <w:pPr>
        <w:pStyle w:val="ListParagraph"/>
      </w:pPr>
      <w:r w:rsidRPr="00E34CF2">
        <w:rPr>
          <w:u w:val="single"/>
        </w:rPr>
        <w:t xml:space="preserve">Action Step </w:t>
      </w:r>
      <w:r>
        <w:rPr>
          <w:u w:val="single"/>
        </w:rPr>
        <w:t>3</w:t>
      </w:r>
      <w:r>
        <w:t xml:space="preserve">: </w:t>
      </w:r>
      <w:r w:rsidR="00855182" w:rsidRPr="000B71AF">
        <w:t xml:space="preserve">Create an Honors Pathway that enriches students’ educational journey. </w:t>
      </w:r>
    </w:p>
    <w:p w14:paraId="3883722D" w14:textId="77777777" w:rsidR="00855182" w:rsidRPr="000B71AF" w:rsidRDefault="00855182" w:rsidP="00855182">
      <w:pPr>
        <w:rPr>
          <w:rFonts w:cs="Georgia"/>
          <w:b/>
          <w:bCs/>
          <w:color w:val="000000"/>
        </w:rPr>
      </w:pPr>
      <w:r w:rsidRPr="000B71AF">
        <w:rPr>
          <w:rFonts w:cs="Georgia"/>
          <w:b/>
          <w:bCs/>
          <w:color w:val="000000"/>
        </w:rPr>
        <w:br w:type="page"/>
      </w:r>
    </w:p>
    <w:p w14:paraId="25BFF321" w14:textId="6A3D2DD6" w:rsidR="00855182" w:rsidRPr="000B71AF" w:rsidRDefault="00824166" w:rsidP="002C2BB3">
      <w:pPr>
        <w:pStyle w:val="Heading2"/>
      </w:pPr>
      <w:r>
        <w:lastRenderedPageBreak/>
        <w:t>Metrics</w:t>
      </w:r>
    </w:p>
    <w:tbl>
      <w:tblPr>
        <w:tblStyle w:val="Style1"/>
        <w:tblW w:w="10080" w:type="dxa"/>
        <w:tblInd w:w="-180" w:type="dxa"/>
        <w:tblLayout w:type="fixed"/>
        <w:tblLook w:val="04A0" w:firstRow="1" w:lastRow="0" w:firstColumn="1" w:lastColumn="0" w:noHBand="0" w:noVBand="1"/>
      </w:tblPr>
      <w:tblGrid>
        <w:gridCol w:w="2520"/>
        <w:gridCol w:w="3240"/>
        <w:gridCol w:w="2160"/>
        <w:gridCol w:w="2160"/>
      </w:tblGrid>
      <w:tr w:rsidR="00B636AF" w:rsidRPr="000B71AF" w14:paraId="1F643740" w14:textId="77777777" w:rsidTr="00B636AF">
        <w:trPr>
          <w:cnfStyle w:val="100000000000" w:firstRow="1" w:lastRow="0" w:firstColumn="0" w:lastColumn="0" w:oddVBand="0" w:evenVBand="0" w:oddHBand="0" w:evenHBand="0" w:firstRowFirstColumn="0" w:firstRowLastColumn="0" w:lastRowFirstColumn="0" w:lastRowLastColumn="0"/>
        </w:trPr>
        <w:tc>
          <w:tcPr>
            <w:tcW w:w="2520" w:type="dxa"/>
            <w:vAlign w:val="bottom"/>
          </w:tcPr>
          <w:p w14:paraId="4FDEF71A" w14:textId="77777777" w:rsidR="00B636AF" w:rsidRPr="000B71AF" w:rsidRDefault="00B636AF" w:rsidP="00140E82">
            <w:pPr>
              <w:spacing w:after="0"/>
              <w:jc w:val="center"/>
              <w:rPr>
                <w:rFonts w:cs="Times New Roman"/>
                <w:b/>
              </w:rPr>
            </w:pPr>
            <w:r w:rsidRPr="000B71AF">
              <w:rPr>
                <w:rFonts w:cs="Times New Roman"/>
                <w:b/>
              </w:rPr>
              <w:t>Metric</w:t>
            </w:r>
          </w:p>
        </w:tc>
        <w:tc>
          <w:tcPr>
            <w:tcW w:w="3240" w:type="dxa"/>
            <w:vAlign w:val="bottom"/>
          </w:tcPr>
          <w:p w14:paraId="37BA908A" w14:textId="77777777" w:rsidR="00B636AF" w:rsidRPr="000B71AF" w:rsidRDefault="00B636AF" w:rsidP="00140E82">
            <w:pPr>
              <w:spacing w:after="0"/>
              <w:rPr>
                <w:rFonts w:cs="Times New Roman"/>
                <w:b/>
              </w:rPr>
            </w:pPr>
            <w:r w:rsidRPr="000B71AF">
              <w:rPr>
                <w:rFonts w:cs="Times New Roman"/>
                <w:b/>
              </w:rPr>
              <w:t>Definition</w:t>
            </w:r>
          </w:p>
        </w:tc>
        <w:tc>
          <w:tcPr>
            <w:tcW w:w="2160" w:type="dxa"/>
            <w:vAlign w:val="bottom"/>
          </w:tcPr>
          <w:p w14:paraId="260EB340" w14:textId="52A3E0F1" w:rsidR="00B636AF" w:rsidRPr="000B71AF" w:rsidRDefault="00E25EAA" w:rsidP="00E25EAA">
            <w:pPr>
              <w:spacing w:after="0"/>
              <w:jc w:val="center"/>
              <w:rPr>
                <w:rFonts w:cs="Times New Roman"/>
                <w:b/>
              </w:rPr>
            </w:pPr>
            <w:r>
              <w:rPr>
                <w:rFonts w:cs="Times New Roman"/>
                <w:b/>
              </w:rPr>
              <w:t>CHS</w:t>
            </w:r>
            <w:r w:rsidRPr="000B71AF">
              <w:rPr>
                <w:rFonts w:cs="Times New Roman"/>
                <w:b/>
              </w:rPr>
              <w:t xml:space="preserve"> </w:t>
            </w:r>
            <w:r w:rsidR="00B636AF" w:rsidRPr="000B71AF">
              <w:rPr>
                <w:rFonts w:cs="Times New Roman"/>
                <w:b/>
              </w:rPr>
              <w:t xml:space="preserve">Baseline </w:t>
            </w:r>
          </w:p>
        </w:tc>
        <w:tc>
          <w:tcPr>
            <w:tcW w:w="2160" w:type="dxa"/>
          </w:tcPr>
          <w:p w14:paraId="0C0E65CE" w14:textId="3DE31CA0" w:rsidR="00B636AF" w:rsidRPr="000B71AF" w:rsidRDefault="00B636AF" w:rsidP="00140E82">
            <w:pPr>
              <w:spacing w:after="0"/>
              <w:jc w:val="center"/>
              <w:rPr>
                <w:rFonts w:cs="Times New Roman"/>
                <w:b/>
              </w:rPr>
            </w:pPr>
            <w:r>
              <w:rPr>
                <w:rFonts w:cs="Times New Roman"/>
                <w:b/>
              </w:rPr>
              <w:t>CHS</w:t>
            </w:r>
            <w:r w:rsidRPr="000B71AF">
              <w:rPr>
                <w:rFonts w:cs="Times New Roman"/>
                <w:b/>
              </w:rPr>
              <w:t xml:space="preserve"> 2021 Target</w:t>
            </w:r>
          </w:p>
        </w:tc>
      </w:tr>
      <w:tr w:rsidR="00B636AF" w:rsidRPr="000B71AF" w14:paraId="42ABE3DE" w14:textId="77777777" w:rsidTr="00B636AF">
        <w:tc>
          <w:tcPr>
            <w:tcW w:w="2520" w:type="dxa"/>
          </w:tcPr>
          <w:p w14:paraId="62A85A8E" w14:textId="77777777" w:rsidR="00B636AF" w:rsidRPr="000B71AF" w:rsidRDefault="00B636AF" w:rsidP="00B636AF">
            <w:pPr>
              <w:spacing w:before="60" w:after="60"/>
              <w:rPr>
                <w:rFonts w:cs="Times New Roman"/>
              </w:rPr>
            </w:pPr>
            <w:r w:rsidRPr="000B71AF">
              <w:rPr>
                <w:rFonts w:cs="Times New Roman"/>
              </w:rPr>
              <w:t>Retention Rates</w:t>
            </w:r>
          </w:p>
        </w:tc>
        <w:tc>
          <w:tcPr>
            <w:tcW w:w="3240" w:type="dxa"/>
          </w:tcPr>
          <w:p w14:paraId="6FA6DE49" w14:textId="67B1D86D" w:rsidR="00B636AF" w:rsidRPr="000B71AF" w:rsidRDefault="00B636AF" w:rsidP="00B636AF">
            <w:pPr>
              <w:spacing w:before="60" w:after="60"/>
              <w:rPr>
                <w:rFonts w:cs="Times New Roman"/>
              </w:rPr>
            </w:pPr>
            <w:r w:rsidRPr="000B71AF">
              <w:rPr>
                <w:rFonts w:cs="Times New Roman"/>
              </w:rPr>
              <w:t>First-Year</w:t>
            </w:r>
          </w:p>
          <w:p w14:paraId="6FAA9B84" w14:textId="0DE78597" w:rsidR="00B636AF" w:rsidRPr="008C42BA" w:rsidRDefault="00C25791" w:rsidP="00B636AF">
            <w:pPr>
              <w:spacing w:before="60" w:after="60"/>
              <w:rPr>
                <w:rFonts w:cs="Times New Roman"/>
                <w:i/>
                <w:sz w:val="20"/>
              </w:rPr>
            </w:pPr>
            <w:r w:rsidRPr="008C42BA">
              <w:rPr>
                <w:rFonts w:cs="Times New Roman"/>
                <w:i/>
                <w:sz w:val="20"/>
              </w:rPr>
              <w:t>(Fall 2014 Cohort)</w:t>
            </w:r>
          </w:p>
          <w:p w14:paraId="7F1D00AC" w14:textId="77777777" w:rsidR="00B636AF" w:rsidRPr="000B71AF" w:rsidRDefault="00B636AF" w:rsidP="00B636AF">
            <w:pPr>
              <w:spacing w:before="60" w:after="60"/>
              <w:rPr>
                <w:rFonts w:cs="Times New Roman"/>
              </w:rPr>
            </w:pPr>
          </w:p>
          <w:p w14:paraId="16AFD214" w14:textId="77777777" w:rsidR="00B636AF" w:rsidRPr="000B71AF" w:rsidRDefault="00B636AF" w:rsidP="00B636AF">
            <w:pPr>
              <w:spacing w:before="60" w:after="60"/>
              <w:rPr>
                <w:rFonts w:cs="Times New Roman"/>
              </w:rPr>
            </w:pPr>
            <w:r w:rsidRPr="000B71AF">
              <w:rPr>
                <w:rFonts w:cs="Times New Roman"/>
              </w:rPr>
              <w:t>Second-Year</w:t>
            </w:r>
          </w:p>
          <w:p w14:paraId="13D4FEA2" w14:textId="4820AB4B" w:rsidR="00C25791" w:rsidRPr="008C42BA" w:rsidRDefault="00C25791" w:rsidP="00C25791">
            <w:pPr>
              <w:spacing w:before="60" w:after="60"/>
              <w:rPr>
                <w:rFonts w:cs="Times New Roman"/>
                <w:i/>
                <w:sz w:val="20"/>
              </w:rPr>
            </w:pPr>
            <w:r w:rsidRPr="008C42BA">
              <w:rPr>
                <w:rFonts w:cs="Times New Roman"/>
                <w:i/>
                <w:sz w:val="20"/>
              </w:rPr>
              <w:t>(Fall 2013 Cohort)</w:t>
            </w:r>
          </w:p>
          <w:p w14:paraId="721B0C06" w14:textId="77777777" w:rsidR="00B636AF" w:rsidRPr="000B71AF" w:rsidRDefault="00B636AF" w:rsidP="00B636AF">
            <w:pPr>
              <w:spacing w:before="60" w:after="60"/>
              <w:rPr>
                <w:rFonts w:cs="Times New Roman"/>
              </w:rPr>
            </w:pPr>
          </w:p>
          <w:p w14:paraId="12A93C51" w14:textId="77777777" w:rsidR="00B636AF" w:rsidRPr="000B71AF" w:rsidRDefault="00B636AF" w:rsidP="00B636AF">
            <w:pPr>
              <w:spacing w:before="60" w:after="60"/>
              <w:rPr>
                <w:rFonts w:cs="Times New Roman"/>
              </w:rPr>
            </w:pPr>
          </w:p>
          <w:p w14:paraId="2858259A" w14:textId="77777777" w:rsidR="00B636AF" w:rsidRDefault="00B636AF" w:rsidP="00B636AF">
            <w:pPr>
              <w:spacing w:before="60" w:after="60"/>
              <w:rPr>
                <w:rFonts w:cs="Times New Roman"/>
              </w:rPr>
            </w:pPr>
            <w:r w:rsidRPr="000B71AF">
              <w:rPr>
                <w:rFonts w:cs="Times New Roman"/>
              </w:rPr>
              <w:t>Third-Year</w:t>
            </w:r>
          </w:p>
          <w:p w14:paraId="017BA5E7" w14:textId="39A23B7B" w:rsidR="00C25791" w:rsidRPr="008C42BA" w:rsidRDefault="00C25791" w:rsidP="00B636AF">
            <w:pPr>
              <w:spacing w:before="60" w:after="60"/>
              <w:rPr>
                <w:rFonts w:cs="Times New Roman"/>
                <w:i/>
                <w:sz w:val="16"/>
              </w:rPr>
            </w:pPr>
            <w:r w:rsidRPr="008C42BA">
              <w:rPr>
                <w:rFonts w:cs="Times New Roman"/>
                <w:i/>
                <w:sz w:val="20"/>
              </w:rPr>
              <w:t>(Fall 2012 Cohort)</w:t>
            </w:r>
          </w:p>
        </w:tc>
        <w:tc>
          <w:tcPr>
            <w:tcW w:w="2160" w:type="dxa"/>
          </w:tcPr>
          <w:p w14:paraId="50AF3E79" w14:textId="77777777" w:rsidR="00B636AF" w:rsidRPr="000B71AF" w:rsidRDefault="00B636AF" w:rsidP="00B636AF">
            <w:pPr>
              <w:spacing w:before="60" w:after="60"/>
              <w:jc w:val="center"/>
              <w:rPr>
                <w:rFonts w:cs="Times New Roman"/>
              </w:rPr>
            </w:pPr>
            <w:r w:rsidRPr="000B71AF">
              <w:rPr>
                <w:rFonts w:cs="Times New Roman"/>
              </w:rPr>
              <w:t>85.2%</w:t>
            </w:r>
          </w:p>
          <w:p w14:paraId="6DFC8A1C" w14:textId="77777777" w:rsidR="00B636AF" w:rsidRPr="000B71AF" w:rsidRDefault="00B636AF" w:rsidP="00B636AF">
            <w:pPr>
              <w:spacing w:before="60" w:after="60"/>
              <w:jc w:val="center"/>
              <w:rPr>
                <w:rFonts w:cs="Times New Roman"/>
              </w:rPr>
            </w:pPr>
          </w:p>
          <w:p w14:paraId="0C4B526E" w14:textId="77777777" w:rsidR="00B636AF" w:rsidRPr="000B71AF" w:rsidRDefault="00B636AF" w:rsidP="00B636AF">
            <w:pPr>
              <w:spacing w:before="60" w:after="60"/>
              <w:jc w:val="center"/>
              <w:rPr>
                <w:rFonts w:cs="Times New Roman"/>
              </w:rPr>
            </w:pPr>
          </w:p>
          <w:p w14:paraId="40A5FBFC" w14:textId="77777777" w:rsidR="00B636AF" w:rsidRPr="000B71AF" w:rsidRDefault="00B636AF" w:rsidP="00B636AF">
            <w:pPr>
              <w:spacing w:before="60" w:after="60"/>
              <w:jc w:val="center"/>
              <w:rPr>
                <w:rFonts w:cs="Times New Roman"/>
              </w:rPr>
            </w:pPr>
            <w:r w:rsidRPr="000B71AF">
              <w:rPr>
                <w:rFonts w:cs="Times New Roman"/>
              </w:rPr>
              <w:t>74.2%</w:t>
            </w:r>
          </w:p>
          <w:p w14:paraId="3AC0CAF7" w14:textId="77777777" w:rsidR="00B636AF" w:rsidRPr="000B71AF" w:rsidRDefault="00B636AF" w:rsidP="00B636AF">
            <w:pPr>
              <w:spacing w:before="60" w:after="60"/>
              <w:jc w:val="center"/>
              <w:rPr>
                <w:rFonts w:cs="Times New Roman"/>
              </w:rPr>
            </w:pPr>
          </w:p>
          <w:p w14:paraId="11372619" w14:textId="77777777" w:rsidR="00B636AF" w:rsidRPr="000B71AF" w:rsidRDefault="00B636AF" w:rsidP="00B636AF">
            <w:pPr>
              <w:spacing w:before="60" w:after="60"/>
              <w:jc w:val="center"/>
              <w:rPr>
                <w:rFonts w:cs="Times New Roman"/>
              </w:rPr>
            </w:pPr>
          </w:p>
          <w:p w14:paraId="0BBD41AF" w14:textId="77777777" w:rsidR="00B636AF" w:rsidRPr="000B71AF" w:rsidRDefault="00B636AF" w:rsidP="00B636AF">
            <w:pPr>
              <w:spacing w:before="60" w:after="60"/>
              <w:jc w:val="center"/>
              <w:rPr>
                <w:rFonts w:cs="Times New Roman"/>
              </w:rPr>
            </w:pPr>
            <w:r w:rsidRPr="000B71AF">
              <w:rPr>
                <w:rFonts w:cs="Times New Roman"/>
              </w:rPr>
              <w:t>72.6%</w:t>
            </w:r>
          </w:p>
        </w:tc>
        <w:tc>
          <w:tcPr>
            <w:tcW w:w="2160" w:type="dxa"/>
          </w:tcPr>
          <w:p w14:paraId="1CF7E738" w14:textId="5B591BED" w:rsidR="00B636AF" w:rsidRPr="000B71AF" w:rsidRDefault="00B636AF" w:rsidP="00B636AF">
            <w:pPr>
              <w:spacing w:before="60" w:after="60"/>
              <w:jc w:val="center"/>
              <w:rPr>
                <w:rFonts w:cs="Times New Roman"/>
              </w:rPr>
            </w:pPr>
            <w:r w:rsidRPr="000B71AF">
              <w:rPr>
                <w:rFonts w:cs="Times New Roman"/>
              </w:rPr>
              <w:t>90</w:t>
            </w:r>
            <w:r w:rsidR="00F739DB">
              <w:rPr>
                <w:rFonts w:cs="Times New Roman"/>
              </w:rPr>
              <w:t>.0</w:t>
            </w:r>
            <w:r w:rsidRPr="000B71AF">
              <w:rPr>
                <w:rFonts w:cs="Times New Roman"/>
              </w:rPr>
              <w:t>%</w:t>
            </w:r>
          </w:p>
          <w:p w14:paraId="6D6E0DD5" w14:textId="77777777" w:rsidR="00B636AF" w:rsidRPr="000B71AF" w:rsidRDefault="00B636AF" w:rsidP="00B636AF">
            <w:pPr>
              <w:spacing w:before="60" w:after="60"/>
              <w:jc w:val="center"/>
              <w:rPr>
                <w:rFonts w:cs="Times New Roman"/>
              </w:rPr>
            </w:pPr>
          </w:p>
          <w:p w14:paraId="321590F4" w14:textId="77777777" w:rsidR="00B636AF" w:rsidRPr="000B71AF" w:rsidRDefault="00B636AF" w:rsidP="00B636AF">
            <w:pPr>
              <w:spacing w:before="60" w:after="60"/>
              <w:jc w:val="center"/>
              <w:rPr>
                <w:rFonts w:cs="Times New Roman"/>
              </w:rPr>
            </w:pPr>
          </w:p>
          <w:p w14:paraId="00669BC3" w14:textId="77777777" w:rsidR="00B636AF" w:rsidRPr="000B71AF" w:rsidRDefault="00B636AF" w:rsidP="00B636AF">
            <w:pPr>
              <w:spacing w:before="60" w:after="60"/>
              <w:jc w:val="center"/>
              <w:rPr>
                <w:rFonts w:cs="Times New Roman"/>
              </w:rPr>
            </w:pPr>
            <w:r w:rsidRPr="000B71AF">
              <w:rPr>
                <w:rFonts w:cs="Times New Roman"/>
              </w:rPr>
              <w:t>85.5%</w:t>
            </w:r>
          </w:p>
          <w:p w14:paraId="7B724760" w14:textId="77777777" w:rsidR="00B636AF" w:rsidRPr="000B71AF" w:rsidRDefault="00B636AF" w:rsidP="00B636AF">
            <w:pPr>
              <w:spacing w:before="60" w:after="60"/>
              <w:jc w:val="center"/>
              <w:rPr>
                <w:rFonts w:cs="Times New Roman"/>
              </w:rPr>
            </w:pPr>
          </w:p>
          <w:p w14:paraId="6A292F46" w14:textId="77777777" w:rsidR="00B636AF" w:rsidRPr="000B71AF" w:rsidRDefault="00B636AF" w:rsidP="00B636AF">
            <w:pPr>
              <w:spacing w:before="60" w:after="60"/>
              <w:jc w:val="center"/>
              <w:rPr>
                <w:rFonts w:cs="Times New Roman"/>
              </w:rPr>
            </w:pPr>
          </w:p>
          <w:p w14:paraId="49079354" w14:textId="759228F3" w:rsidR="00B636AF" w:rsidRPr="000B71AF" w:rsidRDefault="00B636AF" w:rsidP="00B636AF">
            <w:pPr>
              <w:spacing w:before="60" w:after="60"/>
              <w:jc w:val="center"/>
              <w:rPr>
                <w:rFonts w:cs="Times New Roman"/>
              </w:rPr>
            </w:pPr>
            <w:r w:rsidRPr="000B71AF">
              <w:rPr>
                <w:rFonts w:cs="Times New Roman"/>
              </w:rPr>
              <w:t>82</w:t>
            </w:r>
            <w:r w:rsidR="00F739DB">
              <w:rPr>
                <w:rFonts w:cs="Times New Roman"/>
              </w:rPr>
              <w:t>.0</w:t>
            </w:r>
            <w:r w:rsidRPr="000B71AF">
              <w:rPr>
                <w:rFonts w:cs="Times New Roman"/>
              </w:rPr>
              <w:t>%</w:t>
            </w:r>
          </w:p>
        </w:tc>
      </w:tr>
      <w:tr w:rsidR="00B636AF" w:rsidRPr="000B71AF" w14:paraId="45A9FD6D" w14:textId="77777777" w:rsidTr="00B636AF">
        <w:tc>
          <w:tcPr>
            <w:tcW w:w="2520" w:type="dxa"/>
          </w:tcPr>
          <w:p w14:paraId="57519A22" w14:textId="77777777" w:rsidR="00B636AF" w:rsidRPr="000B71AF" w:rsidRDefault="00B636AF" w:rsidP="00B636AF">
            <w:pPr>
              <w:spacing w:before="60" w:after="60"/>
              <w:rPr>
                <w:rFonts w:cs="Times New Roman"/>
              </w:rPr>
            </w:pPr>
            <w:r w:rsidRPr="000B71AF">
              <w:rPr>
                <w:rFonts w:cs="Times New Roman"/>
              </w:rPr>
              <w:t>Graduation Rates</w:t>
            </w:r>
          </w:p>
        </w:tc>
        <w:tc>
          <w:tcPr>
            <w:tcW w:w="3240" w:type="dxa"/>
          </w:tcPr>
          <w:p w14:paraId="7092E610" w14:textId="77777777" w:rsidR="00B636AF" w:rsidRPr="000B71AF" w:rsidRDefault="00B636AF" w:rsidP="00B636AF">
            <w:pPr>
              <w:spacing w:before="60" w:after="60"/>
              <w:rPr>
                <w:rFonts w:cs="Times New Roman"/>
              </w:rPr>
            </w:pPr>
            <w:r w:rsidRPr="000B71AF">
              <w:rPr>
                <w:rFonts w:cs="Times New Roman"/>
              </w:rPr>
              <w:t>Four-Year</w:t>
            </w:r>
          </w:p>
          <w:p w14:paraId="4B1ABE61" w14:textId="7DCEAC5D" w:rsidR="00F739DB" w:rsidRPr="008C42BA" w:rsidRDefault="00F739DB" w:rsidP="00F739DB">
            <w:pPr>
              <w:spacing w:before="60" w:after="60"/>
              <w:rPr>
                <w:rFonts w:cs="Times New Roman"/>
                <w:i/>
                <w:sz w:val="20"/>
              </w:rPr>
            </w:pPr>
            <w:r w:rsidRPr="008C42BA">
              <w:rPr>
                <w:rFonts w:cs="Times New Roman"/>
                <w:i/>
                <w:sz w:val="20"/>
              </w:rPr>
              <w:t>(Fall 2010 Cohort)</w:t>
            </w:r>
          </w:p>
          <w:p w14:paraId="4E90DA3D" w14:textId="77777777" w:rsidR="00B636AF" w:rsidRPr="000B71AF" w:rsidRDefault="00B636AF" w:rsidP="00B636AF">
            <w:pPr>
              <w:spacing w:before="60" w:after="60"/>
              <w:rPr>
                <w:rFonts w:cs="Times New Roman"/>
              </w:rPr>
            </w:pPr>
          </w:p>
          <w:p w14:paraId="26113BB1" w14:textId="77777777" w:rsidR="00B636AF" w:rsidRPr="000B71AF" w:rsidRDefault="00B636AF" w:rsidP="00B636AF">
            <w:pPr>
              <w:spacing w:before="60" w:after="60"/>
              <w:rPr>
                <w:rFonts w:cs="Times New Roman"/>
              </w:rPr>
            </w:pPr>
          </w:p>
          <w:p w14:paraId="7CB76D7C" w14:textId="77777777" w:rsidR="00B636AF" w:rsidRDefault="00B636AF" w:rsidP="00B636AF">
            <w:pPr>
              <w:spacing w:before="60" w:after="60"/>
              <w:rPr>
                <w:rFonts w:cs="Times New Roman"/>
              </w:rPr>
            </w:pPr>
            <w:r w:rsidRPr="000B71AF">
              <w:rPr>
                <w:rFonts w:cs="Times New Roman"/>
              </w:rPr>
              <w:t>Six-Year</w:t>
            </w:r>
          </w:p>
          <w:p w14:paraId="6CABC3D1" w14:textId="6AC9D0B8" w:rsidR="00F739DB" w:rsidRPr="008C42BA" w:rsidRDefault="00F739DB" w:rsidP="00B636AF">
            <w:pPr>
              <w:spacing w:before="60" w:after="60"/>
              <w:rPr>
                <w:rFonts w:cs="Times New Roman"/>
                <w:i/>
                <w:sz w:val="16"/>
              </w:rPr>
            </w:pPr>
            <w:r w:rsidRPr="008C42BA">
              <w:rPr>
                <w:rFonts w:cs="Times New Roman"/>
                <w:i/>
                <w:sz w:val="20"/>
              </w:rPr>
              <w:t>(Fall 2008 Cohort)</w:t>
            </w:r>
          </w:p>
        </w:tc>
        <w:tc>
          <w:tcPr>
            <w:tcW w:w="2160" w:type="dxa"/>
          </w:tcPr>
          <w:p w14:paraId="0EA3A4FC" w14:textId="77777777" w:rsidR="00B636AF" w:rsidRPr="000B71AF" w:rsidRDefault="00B636AF" w:rsidP="00B636AF">
            <w:pPr>
              <w:spacing w:before="60" w:after="60"/>
              <w:jc w:val="center"/>
              <w:rPr>
                <w:rFonts w:cs="Times New Roman"/>
              </w:rPr>
            </w:pPr>
            <w:r w:rsidRPr="000B71AF">
              <w:rPr>
                <w:rFonts w:cs="Times New Roman"/>
              </w:rPr>
              <w:t>41.5%</w:t>
            </w:r>
          </w:p>
          <w:p w14:paraId="36FD1729" w14:textId="77777777" w:rsidR="00B636AF" w:rsidRPr="000B71AF" w:rsidRDefault="00B636AF" w:rsidP="00B636AF">
            <w:pPr>
              <w:spacing w:before="60" w:after="60"/>
              <w:jc w:val="center"/>
              <w:rPr>
                <w:rFonts w:cs="Times New Roman"/>
              </w:rPr>
            </w:pPr>
          </w:p>
          <w:p w14:paraId="266E61E7" w14:textId="77777777" w:rsidR="00B636AF" w:rsidRPr="000B71AF" w:rsidRDefault="00B636AF" w:rsidP="00B636AF">
            <w:pPr>
              <w:spacing w:before="60" w:after="60"/>
              <w:jc w:val="center"/>
              <w:rPr>
                <w:rFonts w:cs="Times New Roman"/>
              </w:rPr>
            </w:pPr>
          </w:p>
          <w:p w14:paraId="73AEA4DF" w14:textId="77777777" w:rsidR="00B636AF" w:rsidRPr="000B71AF" w:rsidRDefault="00B636AF" w:rsidP="00B636AF">
            <w:pPr>
              <w:spacing w:before="60" w:after="60"/>
              <w:jc w:val="center"/>
              <w:rPr>
                <w:rFonts w:cs="Times New Roman"/>
              </w:rPr>
            </w:pPr>
            <w:r w:rsidRPr="000B71AF">
              <w:rPr>
                <w:rFonts w:cs="Times New Roman"/>
              </w:rPr>
              <w:t>56.7%</w:t>
            </w:r>
          </w:p>
        </w:tc>
        <w:tc>
          <w:tcPr>
            <w:tcW w:w="2160" w:type="dxa"/>
          </w:tcPr>
          <w:p w14:paraId="72A2BCA9" w14:textId="77777777" w:rsidR="00B636AF" w:rsidRPr="000B71AF" w:rsidRDefault="00B636AF" w:rsidP="00B636AF">
            <w:pPr>
              <w:spacing w:before="60" w:after="60"/>
              <w:jc w:val="center"/>
              <w:rPr>
                <w:rFonts w:cs="Times New Roman"/>
              </w:rPr>
            </w:pPr>
            <w:r w:rsidRPr="000B71AF">
              <w:rPr>
                <w:rFonts w:cs="Times New Roman"/>
              </w:rPr>
              <w:t>53.5%</w:t>
            </w:r>
          </w:p>
          <w:p w14:paraId="682C90D5" w14:textId="77777777" w:rsidR="00B636AF" w:rsidRPr="000B71AF" w:rsidRDefault="00B636AF" w:rsidP="00B636AF">
            <w:pPr>
              <w:spacing w:before="60" w:after="60"/>
              <w:jc w:val="center"/>
              <w:rPr>
                <w:rFonts w:cs="Times New Roman"/>
              </w:rPr>
            </w:pPr>
          </w:p>
          <w:p w14:paraId="10BD3BE2" w14:textId="77777777" w:rsidR="00B636AF" w:rsidRPr="000B71AF" w:rsidRDefault="00B636AF" w:rsidP="00B636AF">
            <w:pPr>
              <w:spacing w:before="60" w:after="60"/>
              <w:jc w:val="center"/>
              <w:rPr>
                <w:rFonts w:cs="Times New Roman"/>
              </w:rPr>
            </w:pPr>
          </w:p>
          <w:p w14:paraId="46AF1449" w14:textId="77777777" w:rsidR="00B636AF" w:rsidRPr="000B71AF" w:rsidRDefault="00B636AF" w:rsidP="00B636AF">
            <w:pPr>
              <w:spacing w:before="60" w:after="60"/>
              <w:jc w:val="center"/>
              <w:rPr>
                <w:rFonts w:cs="Times New Roman"/>
              </w:rPr>
            </w:pPr>
            <w:r w:rsidRPr="000B71AF">
              <w:rPr>
                <w:rFonts w:cs="Times New Roman"/>
              </w:rPr>
              <w:t>70.5%</w:t>
            </w:r>
          </w:p>
        </w:tc>
      </w:tr>
      <w:tr w:rsidR="00B636AF" w:rsidRPr="000B71AF" w14:paraId="1D843626" w14:textId="77777777" w:rsidTr="00B636AF">
        <w:tc>
          <w:tcPr>
            <w:tcW w:w="2520" w:type="dxa"/>
          </w:tcPr>
          <w:p w14:paraId="256C0E53" w14:textId="77777777" w:rsidR="00B636AF" w:rsidRPr="000B71AF" w:rsidRDefault="00B636AF" w:rsidP="00B636AF">
            <w:pPr>
              <w:spacing w:before="60" w:after="60"/>
              <w:rPr>
                <w:rFonts w:cs="Times New Roman"/>
              </w:rPr>
            </w:pPr>
            <w:r w:rsidRPr="000B71AF">
              <w:rPr>
                <w:rFonts w:cs="Times New Roman"/>
              </w:rPr>
              <w:t xml:space="preserve">Six-Year Graduation Gap for select groups </w:t>
            </w:r>
            <w:r w:rsidRPr="00C27F87">
              <w:rPr>
                <w:rFonts w:cs="Times New Roman"/>
                <w:i/>
                <w:sz w:val="20"/>
              </w:rPr>
              <w:t>(decrease)</w:t>
            </w:r>
          </w:p>
        </w:tc>
        <w:tc>
          <w:tcPr>
            <w:tcW w:w="3240" w:type="dxa"/>
          </w:tcPr>
          <w:p w14:paraId="3D6E43D2" w14:textId="46004740" w:rsidR="00B636AF" w:rsidRPr="000B71AF" w:rsidRDefault="00F8605D" w:rsidP="00B636AF">
            <w:pPr>
              <w:spacing w:before="60" w:after="60"/>
              <w:rPr>
                <w:rFonts w:cs="Times New Roman"/>
              </w:rPr>
            </w:pPr>
            <w:r>
              <w:rPr>
                <w:rFonts w:cs="Times New Roman"/>
              </w:rPr>
              <w:t>Under</w:t>
            </w:r>
            <w:r w:rsidR="00B636AF" w:rsidRPr="000B71AF">
              <w:rPr>
                <w:rFonts w:cs="Times New Roman"/>
              </w:rPr>
              <w:t>represented minorities</w:t>
            </w:r>
          </w:p>
          <w:p w14:paraId="4A2C9592" w14:textId="007DCF9B" w:rsidR="00B636AF" w:rsidRPr="008C42BA" w:rsidRDefault="00F739DB" w:rsidP="00B636AF">
            <w:pPr>
              <w:spacing w:before="60" w:after="60"/>
              <w:rPr>
                <w:rFonts w:cs="Times New Roman"/>
                <w:i/>
                <w:sz w:val="32"/>
              </w:rPr>
            </w:pPr>
            <w:r w:rsidRPr="008C42BA">
              <w:rPr>
                <w:rFonts w:cs="Times New Roman"/>
                <w:i/>
                <w:sz w:val="20"/>
              </w:rPr>
              <w:t>(Fall 2008 Cohort)</w:t>
            </w:r>
          </w:p>
          <w:p w14:paraId="2B72EA6A" w14:textId="77777777" w:rsidR="00B636AF" w:rsidRPr="000B71AF" w:rsidRDefault="00B636AF" w:rsidP="00B636AF">
            <w:pPr>
              <w:spacing w:before="60" w:after="60"/>
              <w:rPr>
                <w:rFonts w:cs="Times New Roman"/>
              </w:rPr>
            </w:pPr>
          </w:p>
          <w:p w14:paraId="7297BF51" w14:textId="77777777" w:rsidR="00B636AF" w:rsidRPr="000B71AF" w:rsidRDefault="00B636AF" w:rsidP="00B636AF">
            <w:pPr>
              <w:spacing w:before="60" w:after="60"/>
              <w:rPr>
                <w:rFonts w:cs="Times New Roman"/>
              </w:rPr>
            </w:pPr>
            <w:r w:rsidRPr="000B71AF">
              <w:rPr>
                <w:rFonts w:cs="Times New Roman"/>
              </w:rPr>
              <w:t>First-generation</w:t>
            </w:r>
          </w:p>
          <w:p w14:paraId="42938C53" w14:textId="268B9996" w:rsidR="00B636AF" w:rsidRPr="008C42BA" w:rsidRDefault="00F739DB" w:rsidP="00B636AF">
            <w:pPr>
              <w:spacing w:before="60" w:after="60"/>
              <w:rPr>
                <w:rFonts w:cs="Times New Roman"/>
                <w:i/>
                <w:sz w:val="32"/>
              </w:rPr>
            </w:pPr>
            <w:r w:rsidRPr="008C42BA">
              <w:rPr>
                <w:rFonts w:cs="Times New Roman"/>
                <w:i/>
                <w:sz w:val="20"/>
              </w:rPr>
              <w:t>(Fall 2009 Cohort)</w:t>
            </w:r>
          </w:p>
          <w:p w14:paraId="317B1668" w14:textId="77777777" w:rsidR="00B636AF" w:rsidRPr="000B71AF" w:rsidRDefault="00B636AF" w:rsidP="00B636AF">
            <w:pPr>
              <w:spacing w:before="60" w:after="60"/>
              <w:rPr>
                <w:rFonts w:cs="Times New Roman"/>
              </w:rPr>
            </w:pPr>
          </w:p>
          <w:p w14:paraId="5A176DD8" w14:textId="77777777" w:rsidR="00B636AF" w:rsidRPr="000B71AF" w:rsidRDefault="00B636AF" w:rsidP="00B636AF">
            <w:pPr>
              <w:spacing w:before="60" w:after="60"/>
              <w:rPr>
                <w:rFonts w:cs="Times New Roman"/>
              </w:rPr>
            </w:pPr>
          </w:p>
          <w:p w14:paraId="548FD912" w14:textId="77777777" w:rsidR="00B636AF" w:rsidRDefault="00B636AF" w:rsidP="00B636AF">
            <w:pPr>
              <w:spacing w:before="60" w:after="60"/>
              <w:rPr>
                <w:rFonts w:cs="Times New Roman"/>
              </w:rPr>
            </w:pPr>
            <w:r w:rsidRPr="000B71AF">
              <w:rPr>
                <w:rFonts w:cs="Times New Roman"/>
              </w:rPr>
              <w:t>Pell recipients</w:t>
            </w:r>
          </w:p>
          <w:p w14:paraId="4FDDDE0C" w14:textId="2D876F9E" w:rsidR="00F739DB" w:rsidRPr="008C42BA" w:rsidRDefault="00F739DB" w:rsidP="00B636AF">
            <w:pPr>
              <w:spacing w:before="60" w:after="60"/>
              <w:rPr>
                <w:rFonts w:cs="Times New Roman"/>
                <w:i/>
              </w:rPr>
            </w:pPr>
            <w:r w:rsidRPr="008C42BA">
              <w:rPr>
                <w:rFonts w:cs="Times New Roman"/>
                <w:i/>
                <w:sz w:val="20"/>
              </w:rPr>
              <w:t>(Fall 2008 Cohort)</w:t>
            </w:r>
          </w:p>
        </w:tc>
        <w:tc>
          <w:tcPr>
            <w:tcW w:w="2160" w:type="dxa"/>
          </w:tcPr>
          <w:p w14:paraId="424F3912" w14:textId="77777777" w:rsidR="00B636AF" w:rsidRPr="000B71AF" w:rsidRDefault="00B636AF" w:rsidP="00B636AF">
            <w:pPr>
              <w:spacing w:before="60" w:after="60"/>
              <w:jc w:val="center"/>
              <w:rPr>
                <w:rFonts w:cs="Times New Roman"/>
              </w:rPr>
            </w:pPr>
            <w:r w:rsidRPr="000B71AF">
              <w:rPr>
                <w:rFonts w:cs="Times New Roman"/>
              </w:rPr>
              <w:t>24.0%</w:t>
            </w:r>
          </w:p>
          <w:p w14:paraId="744D47BE" w14:textId="77777777" w:rsidR="00B636AF" w:rsidRPr="000B71AF" w:rsidRDefault="00B636AF" w:rsidP="00B636AF">
            <w:pPr>
              <w:spacing w:before="60" w:after="60"/>
              <w:jc w:val="center"/>
              <w:rPr>
                <w:rFonts w:cs="Times New Roman"/>
              </w:rPr>
            </w:pPr>
          </w:p>
          <w:p w14:paraId="53C64CEB" w14:textId="77777777" w:rsidR="00B636AF" w:rsidRPr="000B71AF" w:rsidRDefault="00B636AF" w:rsidP="00B636AF">
            <w:pPr>
              <w:spacing w:before="60" w:after="60"/>
              <w:jc w:val="center"/>
              <w:rPr>
                <w:rFonts w:cs="Times New Roman"/>
              </w:rPr>
            </w:pPr>
          </w:p>
          <w:p w14:paraId="7981A7D0" w14:textId="77777777" w:rsidR="00B636AF" w:rsidRPr="000B71AF" w:rsidRDefault="00B636AF" w:rsidP="00B636AF">
            <w:pPr>
              <w:spacing w:before="60" w:after="60"/>
              <w:jc w:val="center"/>
              <w:rPr>
                <w:rFonts w:cs="Times New Roman"/>
              </w:rPr>
            </w:pPr>
          </w:p>
          <w:p w14:paraId="7E0FCB99" w14:textId="77777777" w:rsidR="00B636AF" w:rsidRPr="000B71AF" w:rsidRDefault="00B636AF" w:rsidP="00B636AF">
            <w:pPr>
              <w:spacing w:before="60" w:after="60"/>
              <w:jc w:val="center"/>
              <w:rPr>
                <w:rFonts w:cs="Times New Roman"/>
              </w:rPr>
            </w:pPr>
            <w:r w:rsidRPr="000B71AF">
              <w:rPr>
                <w:rFonts w:cs="Times New Roman"/>
              </w:rPr>
              <w:t>26.7%</w:t>
            </w:r>
          </w:p>
          <w:p w14:paraId="3F02A24B" w14:textId="77777777" w:rsidR="00B636AF" w:rsidRPr="000B71AF" w:rsidRDefault="00B636AF" w:rsidP="00B636AF">
            <w:pPr>
              <w:spacing w:before="60" w:after="60"/>
              <w:jc w:val="center"/>
              <w:rPr>
                <w:rFonts w:cs="Times New Roman"/>
              </w:rPr>
            </w:pPr>
          </w:p>
          <w:p w14:paraId="6318FEDF" w14:textId="77777777" w:rsidR="00B636AF" w:rsidRPr="000B71AF" w:rsidRDefault="00B636AF" w:rsidP="00B636AF">
            <w:pPr>
              <w:spacing w:before="60" w:after="60"/>
              <w:jc w:val="center"/>
              <w:rPr>
                <w:rFonts w:cs="Times New Roman"/>
              </w:rPr>
            </w:pPr>
          </w:p>
          <w:p w14:paraId="50F692DE" w14:textId="77777777" w:rsidR="00B636AF" w:rsidRPr="000B71AF" w:rsidRDefault="00B636AF" w:rsidP="00B636AF">
            <w:pPr>
              <w:spacing w:before="60" w:after="60"/>
              <w:jc w:val="center"/>
              <w:rPr>
                <w:rFonts w:cs="Times New Roman"/>
              </w:rPr>
            </w:pPr>
          </w:p>
          <w:p w14:paraId="1E6D3108" w14:textId="77777777" w:rsidR="00B636AF" w:rsidRPr="000B71AF" w:rsidRDefault="00B636AF" w:rsidP="00B636AF">
            <w:pPr>
              <w:spacing w:before="60" w:after="60"/>
              <w:jc w:val="center"/>
              <w:rPr>
                <w:rFonts w:cs="Times New Roman"/>
              </w:rPr>
            </w:pPr>
            <w:r w:rsidRPr="000B71AF">
              <w:rPr>
                <w:rFonts w:cs="Times New Roman"/>
              </w:rPr>
              <w:t>27.5%</w:t>
            </w:r>
          </w:p>
        </w:tc>
        <w:tc>
          <w:tcPr>
            <w:tcW w:w="2160" w:type="dxa"/>
          </w:tcPr>
          <w:p w14:paraId="4EED2FCE" w14:textId="77777777" w:rsidR="00B636AF" w:rsidRPr="000B71AF" w:rsidRDefault="00B636AF" w:rsidP="00B636AF">
            <w:pPr>
              <w:spacing w:before="60" w:after="60"/>
              <w:jc w:val="center"/>
              <w:rPr>
                <w:rFonts w:cs="Times New Roman"/>
              </w:rPr>
            </w:pPr>
            <w:r w:rsidRPr="000B71AF">
              <w:rPr>
                <w:rFonts w:cs="Times New Roman"/>
              </w:rPr>
              <w:t>14.2%</w:t>
            </w:r>
          </w:p>
          <w:p w14:paraId="7C4FDA95" w14:textId="77777777" w:rsidR="00B636AF" w:rsidRPr="000B71AF" w:rsidRDefault="00B636AF" w:rsidP="00B636AF">
            <w:pPr>
              <w:spacing w:before="60" w:after="60"/>
              <w:jc w:val="center"/>
              <w:rPr>
                <w:rFonts w:cs="Times New Roman"/>
              </w:rPr>
            </w:pPr>
          </w:p>
          <w:p w14:paraId="1E8183C9" w14:textId="77777777" w:rsidR="00B636AF" w:rsidRPr="000B71AF" w:rsidRDefault="00B636AF" w:rsidP="00B636AF">
            <w:pPr>
              <w:spacing w:before="60" w:after="60"/>
              <w:jc w:val="center"/>
              <w:rPr>
                <w:rFonts w:cs="Times New Roman"/>
              </w:rPr>
            </w:pPr>
          </w:p>
          <w:p w14:paraId="69A98105" w14:textId="77777777" w:rsidR="00B636AF" w:rsidRPr="000B71AF" w:rsidRDefault="00B636AF" w:rsidP="00B636AF">
            <w:pPr>
              <w:spacing w:before="60" w:after="60"/>
              <w:jc w:val="center"/>
              <w:rPr>
                <w:rFonts w:cs="Times New Roman"/>
              </w:rPr>
            </w:pPr>
          </w:p>
          <w:p w14:paraId="26C79634" w14:textId="77777777" w:rsidR="00B636AF" w:rsidRPr="000B71AF" w:rsidRDefault="00B636AF" w:rsidP="00B636AF">
            <w:pPr>
              <w:spacing w:before="60" w:after="60"/>
              <w:jc w:val="center"/>
              <w:rPr>
                <w:rFonts w:cs="Times New Roman"/>
              </w:rPr>
            </w:pPr>
            <w:r w:rsidRPr="000B71AF">
              <w:rPr>
                <w:rFonts w:cs="Times New Roman"/>
              </w:rPr>
              <w:t>10.3%</w:t>
            </w:r>
          </w:p>
          <w:p w14:paraId="51DA0642" w14:textId="77777777" w:rsidR="00B636AF" w:rsidRPr="000B71AF" w:rsidRDefault="00B636AF" w:rsidP="00B636AF">
            <w:pPr>
              <w:spacing w:before="60" w:after="60"/>
              <w:jc w:val="center"/>
              <w:rPr>
                <w:rFonts w:cs="Times New Roman"/>
              </w:rPr>
            </w:pPr>
          </w:p>
          <w:p w14:paraId="342EE2C0" w14:textId="77777777" w:rsidR="00B636AF" w:rsidRPr="000B71AF" w:rsidRDefault="00B636AF" w:rsidP="00B636AF">
            <w:pPr>
              <w:spacing w:before="60" w:after="60"/>
              <w:jc w:val="center"/>
              <w:rPr>
                <w:rFonts w:cs="Times New Roman"/>
              </w:rPr>
            </w:pPr>
          </w:p>
          <w:p w14:paraId="05BDB240" w14:textId="77777777" w:rsidR="00B636AF" w:rsidRPr="000B71AF" w:rsidRDefault="00B636AF" w:rsidP="00B636AF">
            <w:pPr>
              <w:spacing w:before="60" w:after="60"/>
              <w:jc w:val="center"/>
              <w:rPr>
                <w:rFonts w:cs="Times New Roman"/>
              </w:rPr>
            </w:pPr>
          </w:p>
          <w:p w14:paraId="596BF433" w14:textId="7C0DBFC4" w:rsidR="00B636AF" w:rsidRPr="000B71AF" w:rsidRDefault="00B636AF" w:rsidP="00B636AF">
            <w:pPr>
              <w:spacing w:before="60" w:after="60"/>
              <w:jc w:val="center"/>
              <w:rPr>
                <w:rFonts w:cs="Times New Roman"/>
              </w:rPr>
            </w:pPr>
            <w:r w:rsidRPr="000B71AF">
              <w:rPr>
                <w:rFonts w:cs="Times New Roman"/>
              </w:rPr>
              <w:t>12</w:t>
            </w:r>
            <w:r w:rsidR="007B2408">
              <w:rPr>
                <w:rFonts w:cs="Times New Roman"/>
              </w:rPr>
              <w:t>.0</w:t>
            </w:r>
            <w:r w:rsidRPr="000B71AF">
              <w:rPr>
                <w:rFonts w:cs="Times New Roman"/>
              </w:rPr>
              <w:t>%</w:t>
            </w:r>
          </w:p>
        </w:tc>
      </w:tr>
      <w:tr w:rsidR="00B636AF" w:rsidRPr="000B71AF" w14:paraId="4AD14F61" w14:textId="77777777" w:rsidTr="00B636AF">
        <w:tc>
          <w:tcPr>
            <w:tcW w:w="2520" w:type="dxa"/>
          </w:tcPr>
          <w:p w14:paraId="741E1FAD" w14:textId="0760A96E" w:rsidR="00B636AF" w:rsidRPr="000B71AF" w:rsidRDefault="00B636AF" w:rsidP="00B636AF">
            <w:pPr>
              <w:spacing w:before="60" w:after="60"/>
              <w:rPr>
                <w:rFonts w:cs="Times New Roman"/>
              </w:rPr>
            </w:pPr>
            <w:r w:rsidRPr="000B71AF">
              <w:rPr>
                <w:rFonts w:cs="Times New Roman"/>
              </w:rPr>
              <w:t>Post</w:t>
            </w:r>
            <w:r w:rsidR="007B2408">
              <w:rPr>
                <w:rFonts w:cs="Times New Roman"/>
              </w:rPr>
              <w:t>-</w:t>
            </w:r>
            <w:r w:rsidR="008C42BA">
              <w:rPr>
                <w:rFonts w:cs="Times New Roman"/>
              </w:rPr>
              <w:t>c</w:t>
            </w:r>
            <w:r w:rsidRPr="000B71AF">
              <w:rPr>
                <w:rFonts w:cs="Times New Roman"/>
              </w:rPr>
              <w:t>ollege Outcomes</w:t>
            </w:r>
          </w:p>
          <w:p w14:paraId="42B221D0" w14:textId="77777777" w:rsidR="00B636AF" w:rsidRPr="000B71AF" w:rsidRDefault="00B636AF" w:rsidP="00B636AF">
            <w:pPr>
              <w:spacing w:before="60" w:after="60"/>
              <w:rPr>
                <w:rFonts w:cs="Times New Roman"/>
              </w:rPr>
            </w:pPr>
          </w:p>
        </w:tc>
        <w:tc>
          <w:tcPr>
            <w:tcW w:w="3240" w:type="dxa"/>
          </w:tcPr>
          <w:p w14:paraId="6887DD3A" w14:textId="77777777" w:rsidR="00B636AF" w:rsidRPr="000B71AF" w:rsidRDefault="00B636AF" w:rsidP="00B636AF">
            <w:pPr>
              <w:spacing w:before="60" w:after="60"/>
              <w:rPr>
                <w:rFonts w:cs="Times New Roman"/>
              </w:rPr>
            </w:pPr>
            <w:r w:rsidRPr="000B71AF">
              <w:rPr>
                <w:rFonts w:cs="Times New Roman"/>
              </w:rPr>
              <w:t>Graduate Education Rate</w:t>
            </w:r>
          </w:p>
          <w:p w14:paraId="3F3EEE6F" w14:textId="77777777" w:rsidR="00B636AF" w:rsidRPr="000B71AF" w:rsidRDefault="00B636AF" w:rsidP="00B636AF">
            <w:pPr>
              <w:spacing w:before="60" w:after="60"/>
              <w:rPr>
                <w:rFonts w:cs="Times New Roman"/>
              </w:rPr>
            </w:pPr>
          </w:p>
          <w:p w14:paraId="6C4DF588" w14:textId="77777777" w:rsidR="00B636AF" w:rsidRPr="000B71AF" w:rsidRDefault="00B636AF" w:rsidP="00B636AF">
            <w:pPr>
              <w:spacing w:before="60" w:after="60"/>
              <w:rPr>
                <w:rFonts w:cs="Times New Roman"/>
              </w:rPr>
            </w:pPr>
            <w:r w:rsidRPr="000B71AF">
              <w:rPr>
                <w:rFonts w:cs="Times New Roman"/>
              </w:rPr>
              <w:t>Employment Rate</w:t>
            </w:r>
          </w:p>
          <w:p w14:paraId="05D1611D" w14:textId="77777777" w:rsidR="00B636AF" w:rsidRDefault="00B636AF" w:rsidP="00B636AF">
            <w:pPr>
              <w:pStyle w:val="ListParagraph"/>
              <w:spacing w:before="60" w:after="60"/>
            </w:pPr>
            <w:r>
              <w:t>Overall</w:t>
            </w:r>
          </w:p>
          <w:p w14:paraId="4C874F01" w14:textId="77777777" w:rsidR="00B636AF" w:rsidRPr="000B71AF" w:rsidRDefault="00B636AF" w:rsidP="00B636AF">
            <w:pPr>
              <w:pStyle w:val="ListParagraph"/>
              <w:spacing w:before="60" w:after="60"/>
            </w:pPr>
            <w:r w:rsidRPr="000B71AF">
              <w:t>Medically underserved communities</w:t>
            </w:r>
          </w:p>
          <w:p w14:paraId="33A921D6" w14:textId="77777777" w:rsidR="00B636AF" w:rsidRPr="000B71AF" w:rsidRDefault="00B636AF" w:rsidP="00B636AF">
            <w:pPr>
              <w:spacing w:before="60" w:after="60"/>
              <w:rPr>
                <w:rFonts w:cs="Times New Roman"/>
              </w:rPr>
            </w:pPr>
          </w:p>
        </w:tc>
        <w:tc>
          <w:tcPr>
            <w:tcW w:w="4320" w:type="dxa"/>
            <w:gridSpan w:val="2"/>
            <w:vAlign w:val="center"/>
          </w:tcPr>
          <w:p w14:paraId="74AA3549" w14:textId="77777777" w:rsidR="00B636AF" w:rsidRDefault="00B636AF" w:rsidP="00B636AF">
            <w:pPr>
              <w:spacing w:before="60" w:after="60"/>
              <w:jc w:val="center"/>
              <w:rPr>
                <w:rFonts w:cs="Times New Roman"/>
              </w:rPr>
            </w:pPr>
          </w:p>
          <w:p w14:paraId="0631A67F" w14:textId="4B9478C5" w:rsidR="00B636AF" w:rsidRPr="000B71AF" w:rsidRDefault="00B636AF" w:rsidP="00B636AF">
            <w:pPr>
              <w:spacing w:before="60" w:after="60"/>
              <w:jc w:val="center"/>
            </w:pPr>
            <w:r w:rsidRPr="000B71AF">
              <w:rPr>
                <w:rFonts w:cs="Times New Roman"/>
              </w:rPr>
              <w:t>Create assessment for setting baseline in 2016-2017</w:t>
            </w:r>
          </w:p>
        </w:tc>
      </w:tr>
    </w:tbl>
    <w:p w14:paraId="532720E8" w14:textId="00C3390F" w:rsidR="0005344A" w:rsidRDefault="0005344A">
      <w:pPr>
        <w:spacing w:after="0"/>
        <w:rPr>
          <w:rFonts w:cs="Georgia"/>
          <w:b/>
          <w:bCs/>
          <w:color w:val="000000"/>
        </w:rPr>
      </w:pPr>
      <w:r>
        <w:rPr>
          <w:rFonts w:cs="Georgia"/>
          <w:b/>
          <w:bCs/>
          <w:color w:val="000000"/>
        </w:rPr>
        <w:br w:type="page"/>
      </w:r>
    </w:p>
    <w:p w14:paraId="4620DC9A" w14:textId="77777777" w:rsidR="0005344A" w:rsidRDefault="00E94B00" w:rsidP="0005344A">
      <w:pPr>
        <w:pStyle w:val="Heading1"/>
        <w:spacing w:after="0"/>
      </w:pPr>
      <w:r w:rsidRPr="00E94B00">
        <w:lastRenderedPageBreak/>
        <w:t>STRATEGIC OBJECTIVE:</w:t>
      </w:r>
      <w:r w:rsidR="0005344A">
        <w:t xml:space="preserve"> </w:t>
      </w:r>
    </w:p>
    <w:p w14:paraId="6CFE59E9" w14:textId="75BBE997" w:rsidR="00E94B00" w:rsidRPr="000B71AF" w:rsidRDefault="00E94B00" w:rsidP="0005344A">
      <w:pPr>
        <w:pStyle w:val="Heading1"/>
        <w:numPr>
          <w:ilvl w:val="0"/>
          <w:numId w:val="0"/>
        </w:numPr>
      </w:pPr>
      <w:r w:rsidRPr="00E94B00">
        <w:t>GRADUATE AND PROFESSIONAL EDUCATION</w:t>
      </w:r>
    </w:p>
    <w:p w14:paraId="107E6495" w14:textId="77777777" w:rsidR="00E94B00" w:rsidRPr="000B71AF" w:rsidRDefault="00E94B00" w:rsidP="00136CCF">
      <w:pPr>
        <w:pStyle w:val="Heading4a"/>
      </w:pPr>
      <w:r w:rsidRPr="000B71AF">
        <w:t xml:space="preserve">Strengthen the quality and distinctiveness of our graduate and professional programs to transform our students into accomplished scholars and professionals who contribute to the Commonwealth, the nation, and the world through their research and discovery, creative endeavors, teaching, and service.  </w:t>
      </w:r>
    </w:p>
    <w:p w14:paraId="5BE569EA" w14:textId="77777777" w:rsidR="00E94B00" w:rsidRPr="000B71AF" w:rsidRDefault="00E94B00" w:rsidP="00E94B00">
      <w:pPr>
        <w:spacing w:after="200" w:line="276" w:lineRule="auto"/>
      </w:pPr>
      <w:r w:rsidRPr="000B71AF">
        <w:t xml:space="preserve">The College of Health Sciences recognizes that the scope of professional opportunities for our graduate and professional students is changing in fundamental ways. So, too, is our approach to graduate education, as seen by our close examination of course offerings, as well as students’ clinical, teaching, and research responsibilities throughout their degree programs. Additionally, we are targeting financial support for graduate and professional education in ways that will increase student selectivity, enhance </w:t>
      </w:r>
      <w:proofErr w:type="spellStart"/>
      <w:r w:rsidRPr="000B71AF">
        <w:t>interprofessional</w:t>
      </w:r>
      <w:proofErr w:type="spellEnd"/>
      <w:r w:rsidRPr="000B71AF">
        <w:t xml:space="preserve"> education, expand and enhance programs that prepare future health care professionals for the rapidly changing delivery and research needs.  </w:t>
      </w:r>
    </w:p>
    <w:p w14:paraId="0BE9F45C" w14:textId="77777777" w:rsidR="00E94B00" w:rsidRPr="000B71AF" w:rsidRDefault="00E94B00" w:rsidP="002C2BB3">
      <w:pPr>
        <w:pStyle w:val="Heading2"/>
      </w:pPr>
      <w:r w:rsidRPr="000B71AF">
        <w:t xml:space="preserve">Strategic Initiatives and Action Steps </w:t>
      </w:r>
    </w:p>
    <w:p w14:paraId="295024CC" w14:textId="0646BC0E" w:rsidR="00E94B00" w:rsidRPr="000B71AF" w:rsidRDefault="003A7D59" w:rsidP="00E12931">
      <w:pPr>
        <w:pStyle w:val="Heading3a"/>
        <w:rPr>
          <w:u w:val="single"/>
        </w:rPr>
      </w:pPr>
      <w:r>
        <w:t xml:space="preserve">CHS </w:t>
      </w:r>
      <w:r w:rsidR="00E94B00" w:rsidRPr="000B71AF">
        <w:t>Strategic Initiative 1: Recruit and retain outstanding graduate and professional students from all backgrounds.</w:t>
      </w:r>
    </w:p>
    <w:p w14:paraId="02A06281" w14:textId="3F945DCF" w:rsidR="00E94B00" w:rsidRPr="000B71AF" w:rsidRDefault="000A2256" w:rsidP="00E34CF2">
      <w:pPr>
        <w:pStyle w:val="ListParagraph"/>
      </w:pPr>
      <w:r w:rsidRPr="00E34CF2">
        <w:rPr>
          <w:u w:val="single"/>
        </w:rPr>
        <w:t>Action Step 1</w:t>
      </w:r>
      <w:r>
        <w:t xml:space="preserve">: </w:t>
      </w:r>
      <w:r w:rsidR="00E94B00" w:rsidRPr="000B71AF">
        <w:t xml:space="preserve">Develop relationships with colleges and universities that attract under-representative minorities. </w:t>
      </w:r>
    </w:p>
    <w:p w14:paraId="5DEFB1C6" w14:textId="44030765" w:rsidR="00E94B00" w:rsidRPr="000B71AF" w:rsidRDefault="000A2256" w:rsidP="00B636AF">
      <w:pPr>
        <w:pStyle w:val="ListParagraph"/>
      </w:pPr>
      <w:r>
        <w:rPr>
          <w:u w:val="single"/>
        </w:rPr>
        <w:t>Action Step 2</w:t>
      </w:r>
      <w:r>
        <w:t xml:space="preserve">: </w:t>
      </w:r>
      <w:r w:rsidR="00E94B00" w:rsidRPr="000B71AF">
        <w:t xml:space="preserve">Enhance the diversity of the college by creating scholarship opportunities for students in each of the College’s </w:t>
      </w:r>
      <w:r w:rsidR="00AF5D03">
        <w:t>five</w:t>
      </w:r>
      <w:r w:rsidR="00AF5D03" w:rsidRPr="000B71AF">
        <w:t xml:space="preserve"> </w:t>
      </w:r>
      <w:r w:rsidR="00E94B00" w:rsidRPr="000B71AF">
        <w:t>graduate (Rehabilitation Sciences Doctoral Program, Physician Assistant Studies, Communication Sciences &amp; Disorders, and Athletic Training</w:t>
      </w:r>
      <w:r w:rsidR="004D783C">
        <w:t xml:space="preserve">) and professional (Physical Therapy) </w:t>
      </w:r>
      <w:r w:rsidR="00E94B00" w:rsidRPr="000B71AF">
        <w:t xml:space="preserve">programs.  </w:t>
      </w:r>
    </w:p>
    <w:p w14:paraId="4F83DAA3" w14:textId="27DEB999" w:rsidR="00E94B00" w:rsidRPr="000B71AF" w:rsidRDefault="000A2256" w:rsidP="00B636AF">
      <w:pPr>
        <w:pStyle w:val="ListParagraph"/>
      </w:pPr>
      <w:r w:rsidRPr="00E34CF2">
        <w:rPr>
          <w:u w:val="single"/>
        </w:rPr>
        <w:t xml:space="preserve">Action Step </w:t>
      </w:r>
      <w:r>
        <w:rPr>
          <w:u w:val="single"/>
        </w:rPr>
        <w:t>3</w:t>
      </w:r>
      <w:r>
        <w:t xml:space="preserve">: </w:t>
      </w:r>
      <w:r w:rsidR="00E94B00" w:rsidRPr="000B71AF">
        <w:t xml:space="preserve">Identify, support, and encourage </w:t>
      </w:r>
      <w:r w:rsidR="00E94B00">
        <w:t xml:space="preserve">promising </w:t>
      </w:r>
      <w:r w:rsidR="00E94B00" w:rsidRPr="000B71AF">
        <w:t xml:space="preserve">current undergraduate students from within the University of Kentucky to seek masters, doctoral and professional education in the College of Health Sciences. </w:t>
      </w:r>
    </w:p>
    <w:p w14:paraId="10678AAA" w14:textId="224F2203" w:rsidR="00E94B00" w:rsidRDefault="000A2256" w:rsidP="00B636AF">
      <w:pPr>
        <w:pStyle w:val="ListParagraph"/>
      </w:pPr>
      <w:r>
        <w:rPr>
          <w:u w:val="single"/>
        </w:rPr>
        <w:t>Action Step 4</w:t>
      </w:r>
      <w:r>
        <w:t xml:space="preserve">: </w:t>
      </w:r>
      <w:r w:rsidR="00E94B00" w:rsidRPr="003A7D59">
        <w:t xml:space="preserve">Recruit outstanding graduate and professional students who are seeking CHS programs of distinction for their education and training. Recruitment efforts must extend beyond the Commonwealth to have national and international reach. </w:t>
      </w:r>
    </w:p>
    <w:p w14:paraId="50D881C4" w14:textId="020E68E2" w:rsidR="000A2256" w:rsidRDefault="000A2256">
      <w:pPr>
        <w:spacing w:after="0"/>
      </w:pPr>
      <w:r>
        <w:br w:type="page"/>
      </w:r>
    </w:p>
    <w:p w14:paraId="6D87232B" w14:textId="69C106A6" w:rsidR="00E94B00" w:rsidRPr="000B71AF" w:rsidRDefault="003A7D59" w:rsidP="00E12931">
      <w:pPr>
        <w:pStyle w:val="Heading3a"/>
      </w:pPr>
      <w:r>
        <w:lastRenderedPageBreak/>
        <w:t xml:space="preserve">CHS </w:t>
      </w:r>
      <w:r w:rsidR="00E94B00" w:rsidRPr="000B71AF">
        <w:t xml:space="preserve">Strategic Initiative 2: Invest in graduate and professional programs that have distinctive synergy with </w:t>
      </w:r>
      <w:r w:rsidR="00E94B00">
        <w:t>CHS</w:t>
      </w:r>
      <w:r w:rsidR="00E94B00" w:rsidRPr="000B71AF">
        <w:t xml:space="preserve"> research priorities and/or whose graduate students demonstrate excellence at</w:t>
      </w:r>
      <w:r w:rsidR="00BD5922">
        <w:t xml:space="preserve"> the national or global level. </w:t>
      </w:r>
    </w:p>
    <w:p w14:paraId="745D2885" w14:textId="39E83441" w:rsidR="00E94B00" w:rsidRPr="000B71AF" w:rsidRDefault="000A2256" w:rsidP="00B636AF">
      <w:pPr>
        <w:pStyle w:val="ListParagraph"/>
      </w:pPr>
      <w:r w:rsidRPr="00E34CF2">
        <w:rPr>
          <w:u w:val="single"/>
        </w:rPr>
        <w:t>Action Step 1</w:t>
      </w:r>
      <w:r>
        <w:t xml:space="preserve">: </w:t>
      </w:r>
      <w:r w:rsidR="00E94B00" w:rsidRPr="000B71AF">
        <w:t>The College of Health Sciences will work to further integrate the College’s professional and research programs into the University of Kentucky’s Health Care Enterprise (UKHC) as well as other affiliated health care partners and colleges.</w:t>
      </w:r>
    </w:p>
    <w:p w14:paraId="557399EC" w14:textId="2682D83C" w:rsidR="00E94B00" w:rsidRPr="000B71AF" w:rsidRDefault="000A2256" w:rsidP="00B636AF">
      <w:pPr>
        <w:pStyle w:val="ListParagraph"/>
      </w:pPr>
      <w:r>
        <w:rPr>
          <w:u w:val="single"/>
        </w:rPr>
        <w:t>Action Step 2</w:t>
      </w:r>
      <w:r>
        <w:t xml:space="preserve">: </w:t>
      </w:r>
      <w:r w:rsidR="00E94B00" w:rsidRPr="000B71AF">
        <w:t>Align our strengths (health, wellness, prevention</w:t>
      </w:r>
      <w:r w:rsidR="00AF5D03">
        <w:t>,</w:t>
      </w:r>
      <w:r w:rsidR="00E94B00" w:rsidRPr="000B71AF">
        <w:t xml:space="preserve"> and rehabilitation) with the</w:t>
      </w:r>
      <w:r w:rsidR="00E94B00">
        <w:t xml:space="preserve"> </w:t>
      </w:r>
      <w:r w:rsidR="00E94B00" w:rsidRPr="008057BF">
        <w:rPr>
          <w:iCs/>
        </w:rPr>
        <w:t>health disparities</w:t>
      </w:r>
      <w:r w:rsidR="00E94B00" w:rsidRPr="0064208F">
        <w:t xml:space="preserve"> </w:t>
      </w:r>
      <w:r w:rsidR="00E94B00" w:rsidRPr="008057BF">
        <w:rPr>
          <w:iCs/>
        </w:rPr>
        <w:t>in the Commonwealth of Kentucky</w:t>
      </w:r>
      <w:r w:rsidR="00E94B00" w:rsidRPr="000B71AF">
        <w:t xml:space="preserve"> and expand our funding to be more diverse and discipline specific while retaining a focus on National Institutes of Health when applicable. </w:t>
      </w:r>
    </w:p>
    <w:p w14:paraId="3EBEE494" w14:textId="74BCF089" w:rsidR="00E94B00" w:rsidRPr="000B71AF" w:rsidRDefault="000A2256" w:rsidP="00B636AF">
      <w:pPr>
        <w:pStyle w:val="ListParagraph"/>
      </w:pPr>
      <w:r w:rsidRPr="00E34CF2">
        <w:rPr>
          <w:u w:val="single"/>
        </w:rPr>
        <w:t xml:space="preserve">Action Step </w:t>
      </w:r>
      <w:r>
        <w:rPr>
          <w:u w:val="single"/>
        </w:rPr>
        <w:t>3</w:t>
      </w:r>
      <w:r>
        <w:t xml:space="preserve">: </w:t>
      </w:r>
      <w:r w:rsidR="00E94B00" w:rsidRPr="000B71AF">
        <w:t xml:space="preserve">Increase the impact of each of the CHS graduate </w:t>
      </w:r>
      <w:r w:rsidR="00E94B00" w:rsidRPr="00CC0976">
        <w:rPr>
          <w:bCs/>
          <w:iCs/>
        </w:rPr>
        <w:t>and professional</w:t>
      </w:r>
      <w:r w:rsidR="00E94B00" w:rsidRPr="008057BF">
        <w:rPr>
          <w:b/>
          <w:bCs/>
          <w:i/>
          <w:iCs/>
        </w:rPr>
        <w:t xml:space="preserve"> </w:t>
      </w:r>
      <w:r w:rsidR="00E94B00" w:rsidRPr="000B71AF">
        <w:t xml:space="preserve">programs to have a broader reach in terms of national recognition and impact on their respective disciplines. </w:t>
      </w:r>
    </w:p>
    <w:p w14:paraId="766A8E81" w14:textId="42DF70D7" w:rsidR="00E94B00" w:rsidRPr="000B71AF" w:rsidRDefault="003A7D59" w:rsidP="00E12931">
      <w:pPr>
        <w:pStyle w:val="Heading3a"/>
      </w:pPr>
      <w:r>
        <w:t xml:space="preserve">CHS </w:t>
      </w:r>
      <w:r w:rsidR="00E94B00" w:rsidRPr="000B71AF">
        <w:t>Strategic Initiative 3: Provide graduate students with the appropriate balance of research, teaching, engagement, and/or experience in creative activity that will enhance timely degree completion</w:t>
      </w:r>
      <w:r w:rsidR="00BD5922">
        <w:t xml:space="preserve"> and long-term career success. </w:t>
      </w:r>
    </w:p>
    <w:p w14:paraId="70E9F315" w14:textId="0F64A804" w:rsidR="00E94B00" w:rsidRPr="000B71AF" w:rsidRDefault="000A2256" w:rsidP="00B636AF">
      <w:pPr>
        <w:pStyle w:val="ListParagraph"/>
      </w:pPr>
      <w:r w:rsidRPr="00E34CF2">
        <w:rPr>
          <w:u w:val="single"/>
        </w:rPr>
        <w:t>Action Step 1</w:t>
      </w:r>
      <w:r>
        <w:t xml:space="preserve">: </w:t>
      </w:r>
      <w:r w:rsidR="00E94B00" w:rsidRPr="000B71AF">
        <w:t>Enhance the professional development of graduate students through curricular and co-curricular enrichment, mentoring, and programming to improve their leadership, management, and communication skills.</w:t>
      </w:r>
    </w:p>
    <w:p w14:paraId="5A1F4F29" w14:textId="04AE2B60" w:rsidR="00E94B00" w:rsidRPr="000B71AF" w:rsidRDefault="000A2256" w:rsidP="00B636AF">
      <w:pPr>
        <w:pStyle w:val="ListParagraph"/>
      </w:pPr>
      <w:r w:rsidRPr="00E34CF2">
        <w:rPr>
          <w:u w:val="single"/>
        </w:rPr>
        <w:t xml:space="preserve">Action Step </w:t>
      </w:r>
      <w:r>
        <w:rPr>
          <w:u w:val="single"/>
        </w:rPr>
        <w:t>2</w:t>
      </w:r>
      <w:r>
        <w:t xml:space="preserve">: </w:t>
      </w:r>
      <w:r w:rsidR="00E94B00" w:rsidRPr="000B71AF">
        <w:t>Document and promote immediate and long-term employment and career success</w:t>
      </w:r>
      <w:r w:rsidR="00AF5D03">
        <w:t>.</w:t>
      </w:r>
      <w:r w:rsidR="00E94B00" w:rsidRPr="000B71AF">
        <w:t xml:space="preserve"> </w:t>
      </w:r>
    </w:p>
    <w:p w14:paraId="7E2CAC56" w14:textId="1131A258" w:rsidR="00E94B00" w:rsidRPr="000B71AF" w:rsidRDefault="003A7D59" w:rsidP="00E12931">
      <w:pPr>
        <w:pStyle w:val="Heading3a"/>
      </w:pPr>
      <w:r>
        <w:t xml:space="preserve">CHS </w:t>
      </w:r>
      <w:r w:rsidR="00E94B00" w:rsidRPr="000B71AF">
        <w:t>Strategic Initiative 4: Improve the visibility of CHS graduate programs and faculty accomplishments nationwide.</w:t>
      </w:r>
    </w:p>
    <w:p w14:paraId="12DC5449" w14:textId="28C2B07B" w:rsidR="00E94B00" w:rsidRPr="000B71AF" w:rsidRDefault="000A2256" w:rsidP="00B636AF">
      <w:pPr>
        <w:pStyle w:val="ListParagraph"/>
      </w:pPr>
      <w:r w:rsidRPr="00E34CF2">
        <w:rPr>
          <w:u w:val="single"/>
        </w:rPr>
        <w:t>Action Step 1</w:t>
      </w:r>
      <w:r>
        <w:t xml:space="preserve">: </w:t>
      </w:r>
      <w:r w:rsidR="00E94B00" w:rsidRPr="000B71AF">
        <w:t>Ensure that CHS faculty are recognized for excellence in teaching, research</w:t>
      </w:r>
      <w:r w:rsidR="00AF5D03">
        <w:t>,</w:t>
      </w:r>
      <w:r w:rsidR="00E94B00" w:rsidRPr="000B71AF">
        <w:t xml:space="preserve"> and service and increase the number of faculty who are recognized as Fellows in their respective disciplines. </w:t>
      </w:r>
    </w:p>
    <w:p w14:paraId="299A1D82" w14:textId="4FF937C6" w:rsidR="00E94B00" w:rsidRPr="000B71AF" w:rsidRDefault="000A2256" w:rsidP="00B636AF">
      <w:pPr>
        <w:pStyle w:val="ListParagraph"/>
      </w:pPr>
      <w:r>
        <w:rPr>
          <w:u w:val="single"/>
        </w:rPr>
        <w:t>Action Step 2</w:t>
      </w:r>
      <w:r>
        <w:t xml:space="preserve">: </w:t>
      </w:r>
      <w:r w:rsidR="00E94B00" w:rsidRPr="000B71AF">
        <w:t>Provide new faculty formal mentorship in instruction and research to support advancement and promotion</w:t>
      </w:r>
      <w:r w:rsidR="00AF5D03">
        <w:t>.</w:t>
      </w:r>
    </w:p>
    <w:p w14:paraId="3BE8FA75" w14:textId="77777777" w:rsidR="00A200C3" w:rsidRDefault="00A200C3">
      <w:pPr>
        <w:spacing w:after="0"/>
        <w:rPr>
          <w:b/>
          <w:u w:val="single"/>
        </w:rPr>
      </w:pPr>
      <w:r>
        <w:rPr>
          <w:b/>
          <w:u w:val="single"/>
        </w:rPr>
        <w:br w:type="page"/>
      </w:r>
    </w:p>
    <w:p w14:paraId="53244E65" w14:textId="48144FD2" w:rsidR="00E94B00" w:rsidRPr="00F43527" w:rsidRDefault="00E94B00" w:rsidP="002C2BB3">
      <w:pPr>
        <w:pStyle w:val="Heading2"/>
      </w:pPr>
      <w:r w:rsidRPr="000B71AF">
        <w:lastRenderedPageBreak/>
        <w:t xml:space="preserve">Metrics </w:t>
      </w:r>
    </w:p>
    <w:tbl>
      <w:tblPr>
        <w:tblStyle w:val="Style1"/>
        <w:tblW w:w="10080" w:type="dxa"/>
        <w:tblLook w:val="04A0" w:firstRow="1" w:lastRow="0" w:firstColumn="1" w:lastColumn="0" w:noHBand="0" w:noVBand="1"/>
      </w:tblPr>
      <w:tblGrid>
        <w:gridCol w:w="2160"/>
        <w:gridCol w:w="2880"/>
        <w:gridCol w:w="2520"/>
        <w:gridCol w:w="2520"/>
      </w:tblGrid>
      <w:tr w:rsidR="00416518" w:rsidRPr="00416518" w14:paraId="1F9947F9" w14:textId="77777777" w:rsidTr="00632D01">
        <w:trPr>
          <w:cnfStyle w:val="100000000000" w:firstRow="1" w:lastRow="0" w:firstColumn="0" w:lastColumn="0" w:oddVBand="0" w:evenVBand="0" w:oddHBand="0" w:evenHBand="0" w:firstRowFirstColumn="0" w:firstRowLastColumn="0" w:lastRowFirstColumn="0" w:lastRowLastColumn="0"/>
          <w:tblHeader/>
        </w:trPr>
        <w:tc>
          <w:tcPr>
            <w:tcW w:w="2160" w:type="dxa"/>
            <w:vAlign w:val="bottom"/>
          </w:tcPr>
          <w:p w14:paraId="64B0C738" w14:textId="77777777" w:rsidR="00416518" w:rsidRPr="00416518" w:rsidRDefault="00416518" w:rsidP="00BD5922">
            <w:pPr>
              <w:spacing w:after="0"/>
              <w:rPr>
                <w:b/>
              </w:rPr>
            </w:pPr>
            <w:r w:rsidRPr="00416518">
              <w:rPr>
                <w:b/>
              </w:rPr>
              <w:t>Metric</w:t>
            </w:r>
          </w:p>
        </w:tc>
        <w:tc>
          <w:tcPr>
            <w:tcW w:w="2880" w:type="dxa"/>
            <w:vAlign w:val="bottom"/>
          </w:tcPr>
          <w:p w14:paraId="6CD7A92D" w14:textId="77777777" w:rsidR="00416518" w:rsidRPr="00416518" w:rsidRDefault="00416518" w:rsidP="00BD5922">
            <w:pPr>
              <w:spacing w:after="0"/>
              <w:rPr>
                <w:b/>
              </w:rPr>
            </w:pPr>
            <w:r w:rsidRPr="00416518">
              <w:rPr>
                <w:b/>
              </w:rPr>
              <w:t>Definition</w:t>
            </w:r>
          </w:p>
        </w:tc>
        <w:tc>
          <w:tcPr>
            <w:tcW w:w="2520" w:type="dxa"/>
            <w:vAlign w:val="bottom"/>
          </w:tcPr>
          <w:p w14:paraId="28820A87" w14:textId="4E314BF5" w:rsidR="00416518" w:rsidRPr="00416518" w:rsidRDefault="002D4A26" w:rsidP="00BD5922">
            <w:pPr>
              <w:spacing w:after="0"/>
              <w:jc w:val="center"/>
              <w:rPr>
                <w:b/>
              </w:rPr>
            </w:pPr>
            <w:r>
              <w:rPr>
                <w:b/>
              </w:rPr>
              <w:t xml:space="preserve">CHS </w:t>
            </w:r>
            <w:r w:rsidR="00416518" w:rsidRPr="00416518">
              <w:rPr>
                <w:b/>
              </w:rPr>
              <w:t>Baseline</w:t>
            </w:r>
          </w:p>
        </w:tc>
        <w:tc>
          <w:tcPr>
            <w:tcW w:w="2520" w:type="dxa"/>
            <w:vAlign w:val="bottom"/>
          </w:tcPr>
          <w:p w14:paraId="1FDA952B" w14:textId="543BCA99" w:rsidR="00416518" w:rsidRPr="00416518" w:rsidRDefault="002D4A26" w:rsidP="00BD5922">
            <w:pPr>
              <w:spacing w:after="0"/>
              <w:jc w:val="center"/>
              <w:rPr>
                <w:b/>
              </w:rPr>
            </w:pPr>
            <w:r>
              <w:rPr>
                <w:b/>
              </w:rPr>
              <w:t xml:space="preserve">CHS </w:t>
            </w:r>
            <w:r w:rsidR="00416518" w:rsidRPr="00416518">
              <w:rPr>
                <w:b/>
              </w:rPr>
              <w:t>2021 Target</w:t>
            </w:r>
          </w:p>
        </w:tc>
      </w:tr>
      <w:tr w:rsidR="00416518" w:rsidRPr="00416518" w14:paraId="43BF6372" w14:textId="77777777" w:rsidTr="00A75C4A">
        <w:tc>
          <w:tcPr>
            <w:tcW w:w="2160" w:type="dxa"/>
          </w:tcPr>
          <w:p w14:paraId="64FFA055" w14:textId="0A274362" w:rsidR="00416518" w:rsidRPr="00416518" w:rsidRDefault="00416518" w:rsidP="00F43527">
            <w:pPr>
              <w:spacing w:after="0"/>
            </w:pPr>
            <w:r w:rsidRPr="00416518">
              <w:t>Graduate and Doctoral Program selectivity</w:t>
            </w:r>
          </w:p>
        </w:tc>
        <w:tc>
          <w:tcPr>
            <w:tcW w:w="2880" w:type="dxa"/>
          </w:tcPr>
          <w:p w14:paraId="013F8F5C" w14:textId="77777777" w:rsidR="00416518" w:rsidRDefault="00416518" w:rsidP="00F43527">
            <w:pPr>
              <w:spacing w:after="0"/>
            </w:pPr>
            <w:r w:rsidRPr="00416518">
              <w:t>Percentage of applicants who receive offers of admission</w:t>
            </w:r>
            <w:r w:rsidR="00D37930">
              <w:t xml:space="preserve"> (selectivity)</w:t>
            </w:r>
          </w:p>
          <w:p w14:paraId="26C2F48D" w14:textId="165C62E7" w:rsidR="00D37930" w:rsidRPr="000C5A60" w:rsidRDefault="00D37930" w:rsidP="00F43527">
            <w:pPr>
              <w:spacing w:after="0"/>
              <w:rPr>
                <w:sz w:val="20"/>
                <w:szCs w:val="20"/>
                <w:vertAlign w:val="superscript"/>
              </w:rPr>
            </w:pPr>
            <w:r w:rsidRPr="008C42BA">
              <w:rPr>
                <w:sz w:val="20"/>
                <w:szCs w:val="20"/>
              </w:rPr>
              <w:t>(2016)</w:t>
            </w:r>
            <w:r w:rsidR="000C5A60">
              <w:rPr>
                <w:sz w:val="20"/>
                <w:szCs w:val="20"/>
                <w:vertAlign w:val="superscript"/>
              </w:rPr>
              <w:t>1</w:t>
            </w:r>
          </w:p>
        </w:tc>
        <w:tc>
          <w:tcPr>
            <w:tcW w:w="2520" w:type="dxa"/>
          </w:tcPr>
          <w:p w14:paraId="44DE5EC5" w14:textId="5141B25F" w:rsidR="00416518" w:rsidRPr="00416518" w:rsidRDefault="00A75C4A" w:rsidP="00BD5922">
            <w:pPr>
              <w:spacing w:after="0"/>
            </w:pPr>
            <w:r>
              <w:t>AT</w:t>
            </w:r>
            <w:r w:rsidR="00416518" w:rsidRPr="00416518">
              <w:t>: 10.1%</w:t>
            </w:r>
          </w:p>
          <w:p w14:paraId="1A498755" w14:textId="25C54F21" w:rsidR="00AA1066" w:rsidRDefault="00AA1066" w:rsidP="00AA1066">
            <w:pPr>
              <w:spacing w:after="0"/>
            </w:pPr>
            <w:r w:rsidRPr="00416518">
              <w:t>CSD: 20.</w:t>
            </w:r>
            <w:r w:rsidR="004107FF">
              <w:t>1</w:t>
            </w:r>
            <w:r w:rsidRPr="00416518">
              <w:t>%</w:t>
            </w:r>
          </w:p>
          <w:p w14:paraId="21E6773F" w14:textId="4D04BA43" w:rsidR="00416518" w:rsidRPr="00416518" w:rsidRDefault="00416518" w:rsidP="00BD5922">
            <w:pPr>
              <w:spacing w:after="0"/>
            </w:pPr>
            <w:r w:rsidRPr="00416518">
              <w:t>PA</w:t>
            </w:r>
            <w:r w:rsidR="00A75C4A">
              <w:t>S</w:t>
            </w:r>
            <w:r w:rsidRPr="00416518">
              <w:t>: 25.8%</w:t>
            </w:r>
          </w:p>
          <w:p w14:paraId="206D62EE" w14:textId="0EFCE150" w:rsidR="00A75C4A" w:rsidRPr="00416518" w:rsidRDefault="00A75C4A" w:rsidP="00BD5922">
            <w:pPr>
              <w:spacing w:after="0"/>
            </w:pPr>
            <w:r>
              <w:t xml:space="preserve">PT: </w:t>
            </w:r>
            <w:r w:rsidR="000C5A60">
              <w:t>16.2</w:t>
            </w:r>
            <w:r w:rsidR="00561348">
              <w:t>%</w:t>
            </w:r>
          </w:p>
          <w:p w14:paraId="4AECE632" w14:textId="671C9616" w:rsidR="00416518" w:rsidRPr="00416518" w:rsidRDefault="00022E15" w:rsidP="00A75C4A">
            <w:pPr>
              <w:spacing w:after="0"/>
            </w:pPr>
            <w:r>
              <w:t>RHB</w:t>
            </w:r>
            <w:r w:rsidR="00A75C4A">
              <w:t>:</w:t>
            </w:r>
            <w:r w:rsidR="00416518" w:rsidRPr="00416518">
              <w:t xml:space="preserve"> </w:t>
            </w:r>
            <w:r w:rsidR="00061266">
              <w:t>55.0%</w:t>
            </w:r>
          </w:p>
        </w:tc>
        <w:tc>
          <w:tcPr>
            <w:tcW w:w="2520" w:type="dxa"/>
          </w:tcPr>
          <w:p w14:paraId="7D47E04E" w14:textId="5B3C2413" w:rsidR="00416518" w:rsidRPr="00416518" w:rsidRDefault="00D70D3C" w:rsidP="00BD5922">
            <w:pPr>
              <w:spacing w:after="0"/>
            </w:pPr>
            <w:r>
              <w:t xml:space="preserve">Keep selectivity </w:t>
            </w:r>
            <w:r w:rsidR="00416518" w:rsidRPr="00416518">
              <w:t xml:space="preserve">below UK target </w:t>
            </w:r>
            <w:r w:rsidR="00BD5922">
              <w:t xml:space="preserve">of </w:t>
            </w:r>
            <w:r w:rsidR="00416518" w:rsidRPr="00416518">
              <w:t>22%</w:t>
            </w:r>
          </w:p>
          <w:p w14:paraId="49750FDD" w14:textId="77777777" w:rsidR="00416518" w:rsidRPr="00416518" w:rsidRDefault="00416518" w:rsidP="00BD5922">
            <w:pPr>
              <w:spacing w:after="0"/>
            </w:pPr>
          </w:p>
          <w:p w14:paraId="2AEE711F" w14:textId="669FF1E1" w:rsidR="00416518" w:rsidRDefault="00564E23" w:rsidP="00BD5922">
            <w:pPr>
              <w:spacing w:after="0"/>
            </w:pPr>
            <w:r>
              <w:t>PA</w:t>
            </w:r>
            <w:r w:rsidR="00EB2921">
              <w:t>S</w:t>
            </w:r>
            <w:r>
              <w:t xml:space="preserve">: decrease </w:t>
            </w:r>
            <w:r w:rsidR="00BD5922">
              <w:t>by</w:t>
            </w:r>
            <w:r w:rsidR="00416518" w:rsidRPr="00416518">
              <w:t xml:space="preserve"> 4%</w:t>
            </w:r>
          </w:p>
          <w:p w14:paraId="12FE6041" w14:textId="173F3E37" w:rsidR="00416518" w:rsidRPr="00416518" w:rsidRDefault="001238C7" w:rsidP="0073299B">
            <w:pPr>
              <w:spacing w:after="0"/>
            </w:pPr>
            <w:r>
              <w:t>RHB: decrease by 15</w:t>
            </w:r>
            <w:r w:rsidR="0073299B" w:rsidRPr="00416518">
              <w:t>%</w:t>
            </w:r>
          </w:p>
        </w:tc>
      </w:tr>
      <w:tr w:rsidR="008C42BA" w:rsidRPr="00416518" w14:paraId="4BB52848" w14:textId="77777777" w:rsidTr="008C42BA">
        <w:tc>
          <w:tcPr>
            <w:tcW w:w="2160" w:type="dxa"/>
          </w:tcPr>
          <w:p w14:paraId="42758A25" w14:textId="78B7C166" w:rsidR="008C42BA" w:rsidRPr="00416518" w:rsidRDefault="008C42BA" w:rsidP="00BD5922">
            <w:pPr>
              <w:spacing w:after="0"/>
            </w:pPr>
            <w:r w:rsidRPr="00416518">
              <w:t>Graduate Degrees Awarded</w:t>
            </w:r>
          </w:p>
        </w:tc>
        <w:tc>
          <w:tcPr>
            <w:tcW w:w="2880" w:type="dxa"/>
          </w:tcPr>
          <w:p w14:paraId="5971CFC7" w14:textId="622CB3C0" w:rsidR="008C42BA" w:rsidRPr="008C42BA" w:rsidRDefault="008C42BA" w:rsidP="00F43527">
            <w:pPr>
              <w:spacing w:after="0"/>
              <w:rPr>
                <w:vertAlign w:val="superscript"/>
              </w:rPr>
            </w:pPr>
            <w:r w:rsidRPr="00416518">
              <w:t>Master’s, doctoral degrees awarded</w:t>
            </w:r>
            <w:r w:rsidR="000C5A60">
              <w:rPr>
                <w:vertAlign w:val="superscript"/>
              </w:rPr>
              <w:t>2</w:t>
            </w:r>
          </w:p>
          <w:p w14:paraId="492711AB" w14:textId="421C47A3" w:rsidR="008C42BA" w:rsidRPr="008C42BA" w:rsidRDefault="008C42BA" w:rsidP="00F43527">
            <w:pPr>
              <w:spacing w:after="0"/>
              <w:rPr>
                <w:sz w:val="20"/>
                <w:szCs w:val="20"/>
              </w:rPr>
            </w:pPr>
            <w:r w:rsidRPr="008C42BA">
              <w:rPr>
                <w:sz w:val="20"/>
                <w:szCs w:val="20"/>
              </w:rPr>
              <w:t>(2015-16)</w:t>
            </w:r>
          </w:p>
        </w:tc>
        <w:tc>
          <w:tcPr>
            <w:tcW w:w="2520" w:type="dxa"/>
          </w:tcPr>
          <w:p w14:paraId="55CC73A9" w14:textId="77777777" w:rsidR="008C42BA" w:rsidRPr="00416518" w:rsidRDefault="008C42BA" w:rsidP="00BD5922">
            <w:pPr>
              <w:spacing w:after="0"/>
            </w:pPr>
            <w:r w:rsidRPr="00416518">
              <w:t>AT: 14</w:t>
            </w:r>
          </w:p>
          <w:p w14:paraId="41A18A58" w14:textId="77777777" w:rsidR="008C42BA" w:rsidRPr="00416518" w:rsidRDefault="008C42BA" w:rsidP="00BD5922">
            <w:pPr>
              <w:spacing w:after="0"/>
            </w:pPr>
            <w:r w:rsidRPr="00416518">
              <w:t>PAS: 54</w:t>
            </w:r>
          </w:p>
          <w:p w14:paraId="7AD5813D" w14:textId="77777777" w:rsidR="008C42BA" w:rsidRDefault="008C42BA" w:rsidP="00A75C4A">
            <w:pPr>
              <w:spacing w:after="0"/>
            </w:pPr>
            <w:r w:rsidRPr="00416518">
              <w:t>CSD: 33</w:t>
            </w:r>
          </w:p>
          <w:p w14:paraId="6BCBEA6F" w14:textId="22640719" w:rsidR="008C42BA" w:rsidRPr="003A31A9" w:rsidRDefault="008C42BA" w:rsidP="00A75C4A">
            <w:pPr>
              <w:spacing w:after="0"/>
            </w:pPr>
            <w:r w:rsidRPr="003A31A9">
              <w:t>PT: 62</w:t>
            </w:r>
          </w:p>
          <w:p w14:paraId="6D452536" w14:textId="77777777" w:rsidR="008C42BA" w:rsidRPr="00416518" w:rsidRDefault="008C42BA" w:rsidP="00BD5922">
            <w:pPr>
              <w:spacing w:after="0"/>
            </w:pPr>
            <w:r w:rsidRPr="00416518">
              <w:t>RHB: 5</w:t>
            </w:r>
          </w:p>
          <w:p w14:paraId="10B18141" w14:textId="77777777" w:rsidR="008C42BA" w:rsidRPr="00416518" w:rsidRDefault="008C42BA" w:rsidP="00BD5922">
            <w:pPr>
              <w:spacing w:after="0"/>
            </w:pPr>
          </w:p>
          <w:p w14:paraId="04B85F2D" w14:textId="77777777" w:rsidR="008C42BA" w:rsidRPr="00416518" w:rsidRDefault="008C42BA" w:rsidP="00BD5922">
            <w:pPr>
              <w:spacing w:after="0"/>
            </w:pPr>
            <w:r w:rsidRPr="00416518">
              <w:t>CHS Total:</w:t>
            </w:r>
          </w:p>
          <w:p w14:paraId="3027FC8B" w14:textId="3C03103A" w:rsidR="008C42BA" w:rsidRPr="00416518" w:rsidRDefault="008C42BA" w:rsidP="00AA1066">
            <w:pPr>
              <w:spacing w:after="0"/>
            </w:pPr>
            <w:r w:rsidRPr="00416518">
              <w:t>1</w:t>
            </w:r>
            <w:r>
              <w:t>68</w:t>
            </w:r>
          </w:p>
        </w:tc>
        <w:tc>
          <w:tcPr>
            <w:tcW w:w="2520" w:type="dxa"/>
          </w:tcPr>
          <w:p w14:paraId="41EFE80E" w14:textId="77777777" w:rsidR="008C42BA" w:rsidRDefault="008C42BA" w:rsidP="00BD5922">
            <w:pPr>
              <w:spacing w:after="0"/>
            </w:pPr>
          </w:p>
          <w:p w14:paraId="09102702" w14:textId="328618AB" w:rsidR="008C42BA" w:rsidRPr="00B7138D" w:rsidRDefault="006320DB" w:rsidP="00490481">
            <w:pPr>
              <w:spacing w:after="0"/>
              <w:rPr>
                <w:vertAlign w:val="superscript"/>
              </w:rPr>
            </w:pPr>
            <w:r>
              <w:t xml:space="preserve"> </w:t>
            </w:r>
            <w:r w:rsidR="008C42BA">
              <w:t>Increase</w:t>
            </w:r>
            <w:r w:rsidR="00B45552">
              <w:t xml:space="preserve"> CHS total </w:t>
            </w:r>
            <w:r w:rsidR="008C42BA">
              <w:t>by 8</w:t>
            </w:r>
            <w:r w:rsidR="008C42BA" w:rsidRPr="00416518">
              <w:t>%</w:t>
            </w:r>
          </w:p>
        </w:tc>
      </w:tr>
      <w:tr w:rsidR="000417F3" w:rsidRPr="00416518" w14:paraId="2E564658" w14:textId="77777777" w:rsidTr="00A75C4A">
        <w:trPr>
          <w:trHeight w:val="5722"/>
        </w:trPr>
        <w:tc>
          <w:tcPr>
            <w:tcW w:w="2160" w:type="dxa"/>
          </w:tcPr>
          <w:p w14:paraId="65B37BDB" w14:textId="1F50BA9B" w:rsidR="000417F3" w:rsidRPr="00416518" w:rsidRDefault="000417F3" w:rsidP="00F43527">
            <w:pPr>
              <w:spacing w:after="0"/>
            </w:pPr>
            <w:r w:rsidRPr="00416518">
              <w:t>Diversity of Students, per CPE enrollment Goals</w:t>
            </w:r>
          </w:p>
        </w:tc>
        <w:tc>
          <w:tcPr>
            <w:tcW w:w="2880" w:type="dxa"/>
          </w:tcPr>
          <w:p w14:paraId="31A37094" w14:textId="77777777" w:rsidR="000417F3" w:rsidRPr="00416518" w:rsidRDefault="000417F3" w:rsidP="00BD5922">
            <w:pPr>
              <w:spacing w:after="0"/>
            </w:pPr>
            <w:r w:rsidRPr="00416518">
              <w:t>% of African American/Black</w:t>
            </w:r>
          </w:p>
          <w:p w14:paraId="6622A672" w14:textId="1E539EF9" w:rsidR="000417F3" w:rsidRDefault="008C42BA" w:rsidP="00BD5922">
            <w:pPr>
              <w:spacing w:after="0"/>
            </w:pPr>
            <w:r w:rsidRPr="00416518">
              <w:t>S</w:t>
            </w:r>
            <w:r w:rsidR="000417F3" w:rsidRPr="00416518">
              <w:t>tudents</w:t>
            </w:r>
          </w:p>
          <w:p w14:paraId="43AD46B2" w14:textId="4AE7ABD6" w:rsidR="008C42BA" w:rsidRPr="00490481" w:rsidRDefault="008C42BA" w:rsidP="00BD5922">
            <w:pPr>
              <w:spacing w:after="0"/>
              <w:rPr>
                <w:sz w:val="20"/>
                <w:szCs w:val="20"/>
                <w:vertAlign w:val="superscript"/>
              </w:rPr>
            </w:pPr>
            <w:r>
              <w:rPr>
                <w:i/>
                <w:sz w:val="20"/>
                <w:szCs w:val="20"/>
              </w:rPr>
              <w:t>(Fall 2015)</w:t>
            </w:r>
            <w:r w:rsidR="000C5A60">
              <w:rPr>
                <w:sz w:val="20"/>
                <w:szCs w:val="20"/>
                <w:vertAlign w:val="superscript"/>
              </w:rPr>
              <w:t>3</w:t>
            </w:r>
          </w:p>
          <w:p w14:paraId="5A584498" w14:textId="77777777" w:rsidR="000417F3" w:rsidRDefault="000417F3" w:rsidP="00BD5922">
            <w:pPr>
              <w:spacing w:after="0"/>
            </w:pPr>
          </w:p>
          <w:p w14:paraId="285C0303" w14:textId="77777777" w:rsidR="000417F3" w:rsidRDefault="000417F3" w:rsidP="00BD5922">
            <w:pPr>
              <w:spacing w:after="0"/>
            </w:pPr>
          </w:p>
          <w:p w14:paraId="1CED7713" w14:textId="77777777" w:rsidR="00A75C4A" w:rsidRDefault="00A75C4A" w:rsidP="00BD5922">
            <w:pPr>
              <w:spacing w:after="0"/>
            </w:pPr>
          </w:p>
          <w:p w14:paraId="1220F99A" w14:textId="77777777" w:rsidR="00583E1A" w:rsidRPr="00583E1A" w:rsidRDefault="00583E1A" w:rsidP="00BD5922">
            <w:pPr>
              <w:spacing w:after="0"/>
              <w:rPr>
                <w:sz w:val="18"/>
              </w:rPr>
            </w:pPr>
          </w:p>
          <w:p w14:paraId="0F52405A" w14:textId="77777777" w:rsidR="00A75C4A" w:rsidRPr="00583E1A" w:rsidRDefault="00A75C4A" w:rsidP="00BD5922">
            <w:pPr>
              <w:spacing w:after="0"/>
              <w:rPr>
                <w:sz w:val="18"/>
              </w:rPr>
            </w:pPr>
          </w:p>
          <w:p w14:paraId="6CEC62BA" w14:textId="77777777" w:rsidR="000417F3" w:rsidRPr="00416518" w:rsidRDefault="000417F3" w:rsidP="00BD5922">
            <w:pPr>
              <w:spacing w:after="0"/>
            </w:pPr>
            <w:r w:rsidRPr="00416518">
              <w:t>% of Hispanic/Latino students</w:t>
            </w:r>
          </w:p>
          <w:p w14:paraId="4816C136" w14:textId="125594FF" w:rsidR="008C42BA" w:rsidRPr="00490481" w:rsidRDefault="008C42BA" w:rsidP="008C42BA">
            <w:pPr>
              <w:spacing w:after="0"/>
              <w:rPr>
                <w:sz w:val="20"/>
                <w:szCs w:val="20"/>
                <w:vertAlign w:val="superscript"/>
              </w:rPr>
            </w:pPr>
            <w:r>
              <w:rPr>
                <w:i/>
                <w:sz w:val="20"/>
                <w:szCs w:val="20"/>
              </w:rPr>
              <w:t>(Fall 2015)</w:t>
            </w:r>
            <w:r w:rsidR="000C5A60">
              <w:rPr>
                <w:sz w:val="20"/>
                <w:szCs w:val="20"/>
                <w:vertAlign w:val="superscript"/>
              </w:rPr>
              <w:t>3</w:t>
            </w:r>
          </w:p>
          <w:p w14:paraId="31611AA4" w14:textId="77777777" w:rsidR="000417F3" w:rsidRDefault="000417F3" w:rsidP="00BD5922">
            <w:pPr>
              <w:spacing w:after="0"/>
            </w:pPr>
          </w:p>
          <w:p w14:paraId="617B7E55" w14:textId="77777777" w:rsidR="00A75C4A" w:rsidRDefault="00A75C4A" w:rsidP="00BD5922">
            <w:pPr>
              <w:spacing w:after="0"/>
            </w:pPr>
          </w:p>
          <w:p w14:paraId="23118D80" w14:textId="77777777" w:rsidR="008C42BA" w:rsidRDefault="008C42BA" w:rsidP="00BD5922">
            <w:pPr>
              <w:spacing w:after="0"/>
            </w:pPr>
          </w:p>
          <w:p w14:paraId="758C5122" w14:textId="77777777" w:rsidR="008C42BA" w:rsidRPr="00416518" w:rsidRDefault="008C42BA" w:rsidP="00BD5922">
            <w:pPr>
              <w:spacing w:after="0"/>
            </w:pPr>
          </w:p>
          <w:p w14:paraId="32724EB6" w14:textId="77777777" w:rsidR="000417F3" w:rsidRPr="00583E1A" w:rsidRDefault="000417F3" w:rsidP="00BD5922">
            <w:pPr>
              <w:spacing w:after="0"/>
              <w:rPr>
                <w:sz w:val="22"/>
              </w:rPr>
            </w:pPr>
          </w:p>
          <w:p w14:paraId="278FB252" w14:textId="77777777" w:rsidR="000417F3" w:rsidRPr="00416518" w:rsidRDefault="000417F3" w:rsidP="00BD5922">
            <w:pPr>
              <w:spacing w:after="0"/>
            </w:pPr>
            <w:r w:rsidRPr="00416518">
              <w:t>% of First Generation students</w:t>
            </w:r>
          </w:p>
          <w:p w14:paraId="2BFF2071" w14:textId="0A70E3D5" w:rsidR="008C42BA" w:rsidRPr="00490481" w:rsidRDefault="008C42BA" w:rsidP="008C42BA">
            <w:pPr>
              <w:spacing w:after="0"/>
              <w:rPr>
                <w:sz w:val="20"/>
                <w:szCs w:val="20"/>
                <w:vertAlign w:val="superscript"/>
              </w:rPr>
            </w:pPr>
            <w:r>
              <w:rPr>
                <w:i/>
                <w:sz w:val="20"/>
                <w:szCs w:val="20"/>
              </w:rPr>
              <w:t>(Fall 2015)</w:t>
            </w:r>
            <w:r w:rsidR="000C5A60">
              <w:rPr>
                <w:sz w:val="20"/>
                <w:szCs w:val="20"/>
                <w:vertAlign w:val="superscript"/>
              </w:rPr>
              <w:t>3</w:t>
            </w:r>
          </w:p>
          <w:p w14:paraId="539DD97F" w14:textId="77777777" w:rsidR="000417F3" w:rsidRPr="00416518" w:rsidRDefault="000417F3" w:rsidP="00BD5922">
            <w:pPr>
              <w:spacing w:after="0"/>
            </w:pPr>
          </w:p>
        </w:tc>
        <w:tc>
          <w:tcPr>
            <w:tcW w:w="2520" w:type="dxa"/>
          </w:tcPr>
          <w:p w14:paraId="7F4017D4" w14:textId="153999C2" w:rsidR="00583E1A" w:rsidRPr="00416518" w:rsidRDefault="00583E1A" w:rsidP="00583E1A">
            <w:pPr>
              <w:spacing w:after="0"/>
            </w:pPr>
            <w:r w:rsidRPr="00416518">
              <w:t>Total Masters: 3.</w:t>
            </w:r>
            <w:r>
              <w:t>1</w:t>
            </w:r>
            <w:r w:rsidRPr="00416518">
              <w:t>%</w:t>
            </w:r>
          </w:p>
          <w:p w14:paraId="474052C7" w14:textId="77777777" w:rsidR="000417F3" w:rsidRPr="00416518" w:rsidRDefault="000417F3" w:rsidP="00BD5922">
            <w:pPr>
              <w:spacing w:after="0"/>
            </w:pPr>
            <w:r w:rsidRPr="00416518">
              <w:t>AT: 8.7%</w:t>
            </w:r>
          </w:p>
          <w:p w14:paraId="09B47D8E" w14:textId="77777777" w:rsidR="000417F3" w:rsidRPr="00416518" w:rsidRDefault="000417F3" w:rsidP="00BD5922">
            <w:pPr>
              <w:spacing w:after="0"/>
            </w:pPr>
            <w:r w:rsidRPr="00416518">
              <w:t>CSD: 1.5%</w:t>
            </w:r>
          </w:p>
          <w:p w14:paraId="6C415B38" w14:textId="5C1BA65D" w:rsidR="000417F3" w:rsidRDefault="000417F3" w:rsidP="00BD5922">
            <w:pPr>
              <w:spacing w:after="0"/>
            </w:pPr>
            <w:r w:rsidRPr="00416518">
              <w:t>PAS</w:t>
            </w:r>
            <w:r>
              <w:t>:</w:t>
            </w:r>
            <w:r w:rsidRPr="00416518">
              <w:t xml:space="preserve"> </w:t>
            </w:r>
            <w:r w:rsidR="00C63705">
              <w:t>3.1%</w:t>
            </w:r>
          </w:p>
          <w:p w14:paraId="048188AA" w14:textId="77777777" w:rsidR="00583E1A" w:rsidRDefault="00583E1A" w:rsidP="00BD5922">
            <w:pPr>
              <w:spacing w:after="0"/>
            </w:pPr>
          </w:p>
          <w:p w14:paraId="44B53E12" w14:textId="1AD44B93" w:rsidR="00AA1066" w:rsidRPr="00416518" w:rsidRDefault="00AA1066" w:rsidP="00BD5922">
            <w:pPr>
              <w:spacing w:after="0"/>
            </w:pPr>
            <w:r>
              <w:t>PT: 5.4%</w:t>
            </w:r>
          </w:p>
          <w:p w14:paraId="76208C1A" w14:textId="3480E2C9" w:rsidR="000417F3" w:rsidRDefault="000417F3" w:rsidP="00BD5922">
            <w:pPr>
              <w:spacing w:after="0"/>
            </w:pPr>
            <w:r>
              <w:t xml:space="preserve">RHB: </w:t>
            </w:r>
            <w:r w:rsidR="00C63705">
              <w:t>0</w:t>
            </w:r>
            <w:r w:rsidR="00583E1A">
              <w:t>.0</w:t>
            </w:r>
            <w:r w:rsidR="00C63705">
              <w:t>%</w:t>
            </w:r>
          </w:p>
          <w:p w14:paraId="306DD280" w14:textId="77777777" w:rsidR="000417F3" w:rsidRDefault="000417F3" w:rsidP="00BD5922">
            <w:pPr>
              <w:spacing w:after="0"/>
            </w:pPr>
          </w:p>
          <w:p w14:paraId="0CCCBC7D" w14:textId="77777777" w:rsidR="00583E1A" w:rsidRPr="00416518" w:rsidRDefault="00583E1A" w:rsidP="00583E1A">
            <w:pPr>
              <w:spacing w:after="0"/>
            </w:pPr>
            <w:r w:rsidRPr="00416518">
              <w:t>Total Masters: 1.2%</w:t>
            </w:r>
          </w:p>
          <w:p w14:paraId="2CFFF154" w14:textId="77777777" w:rsidR="000417F3" w:rsidRPr="00416518" w:rsidRDefault="000417F3" w:rsidP="00BD5922">
            <w:pPr>
              <w:spacing w:after="0"/>
            </w:pPr>
            <w:r w:rsidRPr="00416518">
              <w:t>AT: 4.3%</w:t>
            </w:r>
          </w:p>
          <w:p w14:paraId="71D9DDCF" w14:textId="77777777" w:rsidR="000417F3" w:rsidRPr="00416518" w:rsidRDefault="000417F3" w:rsidP="00BD5922">
            <w:pPr>
              <w:spacing w:after="0"/>
            </w:pPr>
            <w:r w:rsidRPr="00416518">
              <w:t>CSD: 1.5%</w:t>
            </w:r>
          </w:p>
          <w:p w14:paraId="4E1F342D" w14:textId="07AAB0BE" w:rsidR="000417F3" w:rsidRDefault="000417F3" w:rsidP="00BD5922">
            <w:pPr>
              <w:spacing w:after="0"/>
            </w:pPr>
            <w:r w:rsidRPr="00416518">
              <w:t xml:space="preserve">PAS: 0.6% </w:t>
            </w:r>
          </w:p>
          <w:p w14:paraId="549130A0" w14:textId="77777777" w:rsidR="00583E1A" w:rsidRDefault="00583E1A" w:rsidP="00BD5922">
            <w:pPr>
              <w:spacing w:after="0"/>
            </w:pPr>
          </w:p>
          <w:p w14:paraId="5D63F7DB" w14:textId="6DBD7A66" w:rsidR="00AA1066" w:rsidRPr="00416518" w:rsidRDefault="00AA1066" w:rsidP="00BD5922">
            <w:pPr>
              <w:spacing w:after="0"/>
            </w:pPr>
            <w:r>
              <w:t>PT:</w:t>
            </w:r>
            <w:r w:rsidR="00E2388C">
              <w:t xml:space="preserve"> 2.9%</w:t>
            </w:r>
          </w:p>
          <w:p w14:paraId="1E21846E" w14:textId="5E9FD37A" w:rsidR="000417F3" w:rsidRDefault="000417F3" w:rsidP="00BD5922">
            <w:pPr>
              <w:spacing w:after="0"/>
            </w:pPr>
            <w:r w:rsidRPr="00416518">
              <w:t>RHB: 0</w:t>
            </w:r>
            <w:r w:rsidR="00583E1A">
              <w:t>.0</w:t>
            </w:r>
            <w:r w:rsidRPr="00416518">
              <w:t>%</w:t>
            </w:r>
          </w:p>
          <w:p w14:paraId="33556DC7" w14:textId="77777777" w:rsidR="000417F3" w:rsidRPr="00416518" w:rsidRDefault="000417F3" w:rsidP="00BD5922">
            <w:pPr>
              <w:spacing w:after="0"/>
            </w:pPr>
          </w:p>
          <w:p w14:paraId="64135C6A" w14:textId="77777777" w:rsidR="00583E1A" w:rsidRPr="00416518" w:rsidRDefault="00583E1A" w:rsidP="00583E1A">
            <w:pPr>
              <w:spacing w:after="0"/>
            </w:pPr>
            <w:r w:rsidRPr="00416518">
              <w:t>Total Masters: 11.4%</w:t>
            </w:r>
          </w:p>
          <w:p w14:paraId="30DFFE89" w14:textId="41511502" w:rsidR="000417F3" w:rsidRPr="00416518" w:rsidRDefault="000417F3" w:rsidP="00BD5922">
            <w:pPr>
              <w:tabs>
                <w:tab w:val="right" w:pos="2358"/>
              </w:tabs>
              <w:spacing w:after="0"/>
            </w:pPr>
            <w:r w:rsidRPr="00416518">
              <w:t>AT: 0</w:t>
            </w:r>
            <w:r w:rsidR="00583E1A">
              <w:t>.0</w:t>
            </w:r>
            <w:r w:rsidRPr="00416518">
              <w:t>%</w:t>
            </w:r>
          </w:p>
          <w:p w14:paraId="1C349ED8" w14:textId="77777777" w:rsidR="000417F3" w:rsidRPr="00416518" w:rsidRDefault="000417F3" w:rsidP="00BD5922">
            <w:pPr>
              <w:spacing w:after="0"/>
            </w:pPr>
            <w:r w:rsidRPr="00416518">
              <w:t>CSD: 5.9%</w:t>
            </w:r>
          </w:p>
          <w:p w14:paraId="29BE8C7A" w14:textId="6F0FA67B" w:rsidR="000417F3" w:rsidRDefault="000417F3" w:rsidP="00BD5922">
            <w:pPr>
              <w:spacing w:after="0"/>
            </w:pPr>
            <w:r w:rsidRPr="00416518">
              <w:t xml:space="preserve">PAS: 15.3% </w:t>
            </w:r>
          </w:p>
          <w:p w14:paraId="39BC2EAC" w14:textId="77777777" w:rsidR="00583E1A" w:rsidRDefault="00583E1A" w:rsidP="00BD5922">
            <w:pPr>
              <w:spacing w:after="0"/>
            </w:pPr>
          </w:p>
          <w:p w14:paraId="52E32669" w14:textId="4813F955" w:rsidR="0070304D" w:rsidRPr="00416518" w:rsidRDefault="0070304D" w:rsidP="00BD5922">
            <w:pPr>
              <w:spacing w:after="0"/>
            </w:pPr>
            <w:r>
              <w:t xml:space="preserve">PT: </w:t>
            </w:r>
            <w:r w:rsidR="00583E1A">
              <w:t>8.3</w:t>
            </w:r>
            <w:r>
              <w:t>%</w:t>
            </w:r>
          </w:p>
          <w:p w14:paraId="7FB79144" w14:textId="6985BF0A" w:rsidR="000417F3" w:rsidRDefault="0070304D" w:rsidP="00BD5922">
            <w:pPr>
              <w:spacing w:after="0"/>
            </w:pPr>
            <w:r>
              <w:t>RHB: 17.9</w:t>
            </w:r>
            <w:r w:rsidR="000417F3" w:rsidRPr="00416518">
              <w:t>%</w:t>
            </w:r>
          </w:p>
          <w:p w14:paraId="3F871E57" w14:textId="0E1FED27" w:rsidR="000417F3" w:rsidRPr="00416518" w:rsidRDefault="000417F3" w:rsidP="00583E1A">
            <w:pPr>
              <w:spacing w:after="0"/>
            </w:pPr>
          </w:p>
        </w:tc>
        <w:tc>
          <w:tcPr>
            <w:tcW w:w="2520" w:type="dxa"/>
          </w:tcPr>
          <w:p w14:paraId="71CA39F2" w14:textId="77777777" w:rsidR="000417F3" w:rsidRDefault="000417F3" w:rsidP="00BD5922">
            <w:pPr>
              <w:spacing w:after="0"/>
            </w:pPr>
          </w:p>
          <w:p w14:paraId="3DA3B7FD" w14:textId="77777777" w:rsidR="000417F3" w:rsidRPr="00416518" w:rsidRDefault="000417F3" w:rsidP="00BD5922">
            <w:pPr>
              <w:spacing w:after="0"/>
            </w:pPr>
            <w:r w:rsidRPr="00416518">
              <w:t>Increase 2% from current status</w:t>
            </w:r>
          </w:p>
          <w:p w14:paraId="4CD62A38" w14:textId="77777777" w:rsidR="000417F3" w:rsidRPr="00416518" w:rsidRDefault="000417F3" w:rsidP="00BD5922">
            <w:pPr>
              <w:spacing w:after="0"/>
            </w:pPr>
          </w:p>
          <w:p w14:paraId="4F1E80DB" w14:textId="77777777" w:rsidR="000417F3" w:rsidRPr="00416518" w:rsidRDefault="000417F3" w:rsidP="00BD5922">
            <w:pPr>
              <w:spacing w:after="0"/>
            </w:pPr>
          </w:p>
          <w:p w14:paraId="60423B95" w14:textId="77777777" w:rsidR="000417F3" w:rsidRDefault="000417F3" w:rsidP="00BD5922">
            <w:pPr>
              <w:spacing w:after="0"/>
            </w:pPr>
          </w:p>
          <w:p w14:paraId="74C5BE45" w14:textId="77777777" w:rsidR="000417F3" w:rsidRPr="00416518" w:rsidRDefault="000417F3" w:rsidP="00BD5922">
            <w:pPr>
              <w:spacing w:after="0"/>
            </w:pPr>
          </w:p>
          <w:p w14:paraId="786048C1" w14:textId="77777777" w:rsidR="00A75C4A" w:rsidRDefault="00A75C4A" w:rsidP="00BD5922">
            <w:pPr>
              <w:spacing w:after="0"/>
            </w:pPr>
          </w:p>
          <w:p w14:paraId="378C9A4E" w14:textId="54AF4FF7" w:rsidR="000417F3" w:rsidRPr="00416518" w:rsidRDefault="000417F3" w:rsidP="00BD5922">
            <w:pPr>
              <w:spacing w:after="0"/>
            </w:pPr>
            <w:r w:rsidRPr="00416518">
              <w:t xml:space="preserve">Increase by </w:t>
            </w:r>
            <w:r>
              <w:t>0</w:t>
            </w:r>
            <w:r w:rsidRPr="00416518">
              <w:t>.3%</w:t>
            </w:r>
          </w:p>
          <w:p w14:paraId="61214A63" w14:textId="77777777" w:rsidR="000417F3" w:rsidRDefault="000417F3" w:rsidP="00BD5922">
            <w:pPr>
              <w:spacing w:after="0"/>
            </w:pPr>
          </w:p>
          <w:p w14:paraId="552F9267" w14:textId="77777777" w:rsidR="000417F3" w:rsidRDefault="000417F3" w:rsidP="00BD5922">
            <w:pPr>
              <w:spacing w:after="0"/>
            </w:pPr>
          </w:p>
          <w:p w14:paraId="1D105C7A" w14:textId="77777777" w:rsidR="000417F3" w:rsidRDefault="000417F3" w:rsidP="00BD5922">
            <w:pPr>
              <w:spacing w:after="0"/>
            </w:pPr>
          </w:p>
          <w:p w14:paraId="17B86CBE" w14:textId="77777777" w:rsidR="000417F3" w:rsidRDefault="000417F3" w:rsidP="00BD5922">
            <w:pPr>
              <w:spacing w:after="0"/>
            </w:pPr>
          </w:p>
          <w:p w14:paraId="19308640" w14:textId="77777777" w:rsidR="000417F3" w:rsidRDefault="000417F3" w:rsidP="00BD5922">
            <w:pPr>
              <w:spacing w:after="0"/>
            </w:pPr>
          </w:p>
          <w:p w14:paraId="759AF4D4" w14:textId="77777777" w:rsidR="000417F3" w:rsidRDefault="000417F3" w:rsidP="00BD5922">
            <w:pPr>
              <w:spacing w:after="0"/>
            </w:pPr>
          </w:p>
          <w:p w14:paraId="2BA62D5D" w14:textId="77777777" w:rsidR="007C6B04" w:rsidRDefault="007C6B04" w:rsidP="00BD5922">
            <w:pPr>
              <w:spacing w:after="0"/>
            </w:pPr>
          </w:p>
          <w:p w14:paraId="28087788" w14:textId="6E5C745C" w:rsidR="000417F3" w:rsidRDefault="000417F3" w:rsidP="00BD5922">
            <w:pPr>
              <w:spacing w:after="0"/>
            </w:pPr>
            <w:r w:rsidRPr="00416518">
              <w:t xml:space="preserve">Programs </w:t>
            </w:r>
            <w:r>
              <w:t>≥</w:t>
            </w:r>
            <w:r w:rsidRPr="00416518">
              <w:t xml:space="preserve"> 10% remain stable;</w:t>
            </w:r>
          </w:p>
          <w:p w14:paraId="6BE8F185" w14:textId="77777777" w:rsidR="000417F3" w:rsidRPr="00416518" w:rsidRDefault="000417F3" w:rsidP="00BD5922">
            <w:pPr>
              <w:spacing w:after="0"/>
            </w:pPr>
          </w:p>
          <w:p w14:paraId="67F49DCA" w14:textId="3F58279B" w:rsidR="000417F3" w:rsidRPr="00416518" w:rsidRDefault="000417F3" w:rsidP="000417F3">
            <w:pPr>
              <w:spacing w:after="0"/>
            </w:pPr>
            <w:r w:rsidRPr="00416518">
              <w:t xml:space="preserve">Programs </w:t>
            </w:r>
            <w:r>
              <w:t xml:space="preserve">&lt; </w:t>
            </w:r>
            <w:r w:rsidRPr="00416518">
              <w:t>10% increase by 2%</w:t>
            </w:r>
          </w:p>
        </w:tc>
      </w:tr>
      <w:tr w:rsidR="007177E1" w:rsidRPr="00416518" w14:paraId="7E70C09C" w14:textId="77777777" w:rsidTr="007177E1">
        <w:trPr>
          <w:trHeight w:val="2416"/>
        </w:trPr>
        <w:tc>
          <w:tcPr>
            <w:tcW w:w="2160" w:type="dxa"/>
          </w:tcPr>
          <w:p w14:paraId="378F91D6" w14:textId="067D860B" w:rsidR="007177E1" w:rsidRPr="00416518" w:rsidRDefault="007177E1" w:rsidP="00F43527">
            <w:pPr>
              <w:spacing w:after="0"/>
            </w:pPr>
            <w:r>
              <w:lastRenderedPageBreak/>
              <w:t>Post</w:t>
            </w:r>
            <w:r w:rsidR="00F8605D">
              <w:t>-c</w:t>
            </w:r>
            <w:r>
              <w:t>ollege Outcomes</w:t>
            </w:r>
          </w:p>
        </w:tc>
        <w:tc>
          <w:tcPr>
            <w:tcW w:w="2880" w:type="dxa"/>
          </w:tcPr>
          <w:p w14:paraId="270B3691" w14:textId="29EF26A7" w:rsidR="007177E1" w:rsidRPr="000B71AF" w:rsidRDefault="007177E1" w:rsidP="00174BCB">
            <w:pPr>
              <w:spacing w:after="0"/>
              <w:rPr>
                <w:rFonts w:cs="Times New Roman"/>
              </w:rPr>
            </w:pPr>
            <w:r w:rsidRPr="000B71AF">
              <w:rPr>
                <w:rFonts w:cs="Times New Roman"/>
              </w:rPr>
              <w:t>Employment Rate</w:t>
            </w:r>
          </w:p>
          <w:p w14:paraId="74392806" w14:textId="77777777" w:rsidR="007177E1" w:rsidRDefault="007177E1" w:rsidP="00632D01">
            <w:pPr>
              <w:pStyle w:val="ListParagraph"/>
              <w:spacing w:before="60" w:after="60"/>
            </w:pPr>
            <w:r>
              <w:t>Overall</w:t>
            </w:r>
          </w:p>
          <w:p w14:paraId="4FC155BB" w14:textId="77777777" w:rsidR="007177E1" w:rsidRPr="000B71AF" w:rsidRDefault="007177E1" w:rsidP="00632D01">
            <w:pPr>
              <w:pStyle w:val="ListParagraph"/>
              <w:spacing w:before="60" w:after="60"/>
            </w:pPr>
            <w:r w:rsidRPr="000B71AF">
              <w:t>Medically underserved communities</w:t>
            </w:r>
          </w:p>
          <w:p w14:paraId="19DA9955" w14:textId="673F1902" w:rsidR="007177E1" w:rsidRPr="00416518" w:rsidRDefault="007177E1" w:rsidP="00BD5922">
            <w:pPr>
              <w:spacing w:after="0"/>
            </w:pPr>
          </w:p>
        </w:tc>
        <w:tc>
          <w:tcPr>
            <w:tcW w:w="5040" w:type="dxa"/>
            <w:gridSpan w:val="2"/>
            <w:vAlign w:val="center"/>
          </w:tcPr>
          <w:p w14:paraId="14077DC6" w14:textId="5482C4DF" w:rsidR="007177E1" w:rsidRDefault="007177E1" w:rsidP="007177E1">
            <w:pPr>
              <w:spacing w:after="0"/>
              <w:jc w:val="center"/>
            </w:pPr>
            <w:r w:rsidRPr="000B71AF">
              <w:rPr>
                <w:rFonts w:cs="Times New Roman"/>
              </w:rPr>
              <w:t>Create assessment for setting baseline in 2016-2017</w:t>
            </w:r>
          </w:p>
        </w:tc>
      </w:tr>
    </w:tbl>
    <w:p w14:paraId="27E115DB" w14:textId="0C1CD2DB" w:rsidR="000C5A60" w:rsidRDefault="00022E15" w:rsidP="00061266">
      <w:pPr>
        <w:spacing w:after="60"/>
        <w:ind w:left="180" w:hanging="180"/>
        <w:rPr>
          <w:sz w:val="20"/>
        </w:rPr>
      </w:pPr>
      <w:r w:rsidRPr="00A66BCB">
        <w:rPr>
          <w:sz w:val="20"/>
          <w:vertAlign w:val="superscript"/>
        </w:rPr>
        <w:t>1</w:t>
      </w:r>
      <w:r w:rsidR="004824EE" w:rsidRPr="00A66BCB">
        <w:rPr>
          <w:sz w:val="20"/>
        </w:rPr>
        <w:t xml:space="preserve"> </w:t>
      </w:r>
      <w:r w:rsidR="008C4B57">
        <w:rPr>
          <w:sz w:val="20"/>
        </w:rPr>
        <w:t>Source</w:t>
      </w:r>
      <w:r w:rsidR="000C5A60">
        <w:rPr>
          <w:sz w:val="20"/>
        </w:rPr>
        <w:t xml:space="preserve">: </w:t>
      </w:r>
      <w:r w:rsidR="008C4B57">
        <w:rPr>
          <w:sz w:val="20"/>
        </w:rPr>
        <w:t xml:space="preserve">Data provided by </w:t>
      </w:r>
      <w:r w:rsidR="000C5A60" w:rsidRPr="000D2E45">
        <w:rPr>
          <w:sz w:val="20"/>
          <w:szCs w:val="20"/>
        </w:rPr>
        <w:t>CHS Office of Student Affairs.</w:t>
      </w:r>
      <w:r w:rsidR="008C4B57">
        <w:rPr>
          <w:sz w:val="20"/>
          <w:szCs w:val="20"/>
        </w:rPr>
        <w:t xml:space="preserve"> Calculation provided by CHS Office of Assessment.</w:t>
      </w:r>
    </w:p>
    <w:p w14:paraId="083A4B3A" w14:textId="3E26C0E1" w:rsidR="00E94B00" w:rsidRDefault="000C5A60" w:rsidP="00061266">
      <w:pPr>
        <w:spacing w:after="60"/>
        <w:ind w:left="180" w:hanging="180"/>
        <w:rPr>
          <w:sz w:val="20"/>
        </w:rPr>
      </w:pPr>
      <w:r w:rsidRPr="000C5A60">
        <w:rPr>
          <w:sz w:val="20"/>
          <w:vertAlign w:val="superscript"/>
        </w:rPr>
        <w:t>2</w:t>
      </w:r>
      <w:r>
        <w:rPr>
          <w:sz w:val="20"/>
        </w:rPr>
        <w:t xml:space="preserve"> </w:t>
      </w:r>
      <w:r w:rsidR="00C63D44">
        <w:rPr>
          <w:sz w:val="20"/>
        </w:rPr>
        <w:t xml:space="preserve">Preliminary data for 2015-16. </w:t>
      </w:r>
      <w:r w:rsidR="00C63D44" w:rsidRPr="00A66BCB">
        <w:rPr>
          <w:sz w:val="20"/>
        </w:rPr>
        <w:t>Professional programs are capped by space and accreditation standards</w:t>
      </w:r>
      <w:r w:rsidR="00C63D44">
        <w:rPr>
          <w:sz w:val="20"/>
        </w:rPr>
        <w:t>.</w:t>
      </w:r>
    </w:p>
    <w:p w14:paraId="65C28BC4" w14:textId="0C5BD0F8" w:rsidR="00490481" w:rsidRPr="00490481" w:rsidRDefault="000C5A60" w:rsidP="000417F3">
      <w:pPr>
        <w:spacing w:after="60"/>
        <w:rPr>
          <w:sz w:val="20"/>
        </w:rPr>
      </w:pPr>
      <w:r>
        <w:rPr>
          <w:sz w:val="20"/>
          <w:vertAlign w:val="superscript"/>
        </w:rPr>
        <w:t>3</w:t>
      </w:r>
      <w:r w:rsidR="00490481">
        <w:rPr>
          <w:sz w:val="20"/>
          <w:vertAlign w:val="superscript"/>
        </w:rPr>
        <w:t xml:space="preserve"> </w:t>
      </w:r>
      <w:r w:rsidR="00490481">
        <w:rPr>
          <w:sz w:val="20"/>
        </w:rPr>
        <w:t>D</w:t>
      </w:r>
      <w:r w:rsidR="00C63D44">
        <w:rPr>
          <w:sz w:val="20"/>
        </w:rPr>
        <w:t>ue to the PAS admission cycle, data reported are as of</w:t>
      </w:r>
      <w:r w:rsidR="00490481">
        <w:rPr>
          <w:sz w:val="20"/>
        </w:rPr>
        <w:t xml:space="preserve"> Spring 2016</w:t>
      </w:r>
      <w:r w:rsidR="00C63D44">
        <w:rPr>
          <w:sz w:val="20"/>
        </w:rPr>
        <w:t>.</w:t>
      </w:r>
    </w:p>
    <w:p w14:paraId="068EA569" w14:textId="57DD1C45" w:rsidR="00E94B00" w:rsidRPr="000B71AF" w:rsidRDefault="00E94B00" w:rsidP="00743338">
      <w:pPr>
        <w:spacing w:after="60"/>
        <w:rPr>
          <w:rFonts w:cs="Georgia"/>
          <w:b/>
          <w:bCs/>
          <w:color w:val="000000"/>
        </w:rPr>
      </w:pPr>
      <w:r w:rsidRPr="000B71AF">
        <w:rPr>
          <w:rFonts w:cs="Georgia"/>
          <w:b/>
          <w:bCs/>
          <w:color w:val="000000"/>
        </w:rPr>
        <w:br w:type="page"/>
      </w:r>
    </w:p>
    <w:p w14:paraId="70A12280" w14:textId="77777777" w:rsidR="0005344A" w:rsidRDefault="00A56100" w:rsidP="0005344A">
      <w:pPr>
        <w:pStyle w:val="Heading1"/>
        <w:spacing w:after="120"/>
      </w:pPr>
      <w:r w:rsidRPr="00E94B00">
        <w:lastRenderedPageBreak/>
        <w:t xml:space="preserve">STRATEGIC OBJECTIVE: </w:t>
      </w:r>
    </w:p>
    <w:p w14:paraId="742C7B48" w14:textId="70B57764" w:rsidR="00A56100" w:rsidRPr="000B71AF" w:rsidRDefault="00A56100" w:rsidP="0005344A">
      <w:pPr>
        <w:pStyle w:val="Heading1"/>
        <w:numPr>
          <w:ilvl w:val="0"/>
          <w:numId w:val="0"/>
        </w:numPr>
      </w:pPr>
      <w:r w:rsidRPr="000B71AF">
        <w:t>DIVERSITY AND INCLUSIVITY</w:t>
      </w:r>
    </w:p>
    <w:p w14:paraId="3FE5358E" w14:textId="56AAAC68" w:rsidR="00D45056" w:rsidRPr="000B71AF" w:rsidRDefault="00D45056" w:rsidP="00A200C3">
      <w:pPr>
        <w:pStyle w:val="Heading4a"/>
      </w:pPr>
      <w:r w:rsidRPr="000B71AF">
        <w:t>Enhance the diversity and inclusivity of our University community through recruitment and retention of an increasingly diverse population of faculty, staff, and students and by implementing initiatives that provide rich diversity-related experiences for all to help ensure their success in an interconnected world.</w:t>
      </w:r>
    </w:p>
    <w:p w14:paraId="752A8525" w14:textId="6CA50684" w:rsidR="00D45056" w:rsidRPr="000B71AF" w:rsidRDefault="00D45056" w:rsidP="00A200C3">
      <w:pPr>
        <w:rPr>
          <w:rFonts w:cs="Helvetica Neue"/>
        </w:rPr>
      </w:pPr>
      <w:r w:rsidRPr="000B71AF">
        <w:t>We will achieve this objective by working collaboratively to create an environment where all of our students, faculty, and staff live or work in an environment of openness and acceptance and in which people of all backgrounds, identities, and perspectives can feel secure and welcome.</w:t>
      </w:r>
      <w:r w:rsidRPr="000B71AF">
        <w:rPr>
          <w:rFonts w:cs="Helvetica Neue"/>
        </w:rPr>
        <w:t xml:space="preserve"> </w:t>
      </w:r>
    </w:p>
    <w:p w14:paraId="7B42E4BC" w14:textId="77777777" w:rsidR="00D45056" w:rsidRPr="000B71AF" w:rsidRDefault="00D45056" w:rsidP="00A200C3">
      <w:pPr>
        <w:rPr>
          <w:rFonts w:cs="Helvetica Neue"/>
        </w:rPr>
      </w:pPr>
      <w:r w:rsidRPr="000B71AF">
        <w:t xml:space="preserve">We are committed to providing an enriching UK experience for </w:t>
      </w:r>
      <w:r w:rsidRPr="000B71AF">
        <w:rPr>
          <w:i/>
          <w:iCs/>
        </w:rPr>
        <w:t>all</w:t>
      </w:r>
      <w:r w:rsidRPr="000B71AF">
        <w:t xml:space="preserve"> students, faculty, and staff by actively exploring and adopting new initiatives that will expand both the diversity and inclusivity of our campus community.</w:t>
      </w:r>
    </w:p>
    <w:p w14:paraId="580C2790" w14:textId="725B2746" w:rsidR="00D45056" w:rsidRPr="000B71AF" w:rsidRDefault="00D45056" w:rsidP="002C2BB3">
      <w:pPr>
        <w:pStyle w:val="Heading2"/>
        <w:rPr>
          <w:rFonts w:cs="Helvetica Neue"/>
        </w:rPr>
      </w:pPr>
      <w:r w:rsidRPr="000B71AF">
        <w:t>Strategic Initiatives and Action Steps</w:t>
      </w:r>
    </w:p>
    <w:p w14:paraId="453E6A5A" w14:textId="31D66CD0" w:rsidR="00D45056" w:rsidRPr="000B71AF" w:rsidRDefault="00A200C3" w:rsidP="00E12931">
      <w:pPr>
        <w:pStyle w:val="Heading3a"/>
        <w:rPr>
          <w:rFonts w:cs="Helvetica Neue"/>
        </w:rPr>
      </w:pPr>
      <w:r>
        <w:t xml:space="preserve">CHS </w:t>
      </w:r>
      <w:r w:rsidR="00D45056" w:rsidRPr="000B71AF">
        <w:t>Strategic Initiative 1: Foster a diverse community of engaged students.</w:t>
      </w:r>
    </w:p>
    <w:p w14:paraId="0682C73B" w14:textId="2DD3AB98" w:rsidR="00D45056" w:rsidRPr="000B71AF" w:rsidRDefault="000A2256" w:rsidP="00B636AF">
      <w:pPr>
        <w:pStyle w:val="ListParagraph"/>
      </w:pPr>
      <w:r w:rsidRPr="00E34CF2">
        <w:rPr>
          <w:u w:val="single"/>
        </w:rPr>
        <w:t>Action Step 1</w:t>
      </w:r>
      <w:r>
        <w:t xml:space="preserve">: </w:t>
      </w:r>
      <w:r w:rsidR="00D45056" w:rsidRPr="000B71AF">
        <w:t>Recruit, retain, and graduate an increasingly diverse student population.</w:t>
      </w:r>
    </w:p>
    <w:p w14:paraId="461B28B2" w14:textId="0C896840" w:rsidR="00D45056" w:rsidRPr="00A200C3" w:rsidRDefault="000A2256" w:rsidP="00B636AF">
      <w:pPr>
        <w:pStyle w:val="ListParagraph"/>
        <w:rPr>
          <w:rFonts w:cs="Helvetica Neue"/>
        </w:rPr>
      </w:pPr>
      <w:r w:rsidRPr="00E34CF2">
        <w:rPr>
          <w:u w:val="single"/>
        </w:rPr>
        <w:t xml:space="preserve">Action Step </w:t>
      </w:r>
      <w:r>
        <w:rPr>
          <w:u w:val="single"/>
        </w:rPr>
        <w:t>2</w:t>
      </w:r>
      <w:r>
        <w:t xml:space="preserve">: </w:t>
      </w:r>
      <w:r w:rsidR="00D45056" w:rsidRPr="000B71AF">
        <w:t>Implement and/or expand formal and informal curricular and co-curricular programs that promote discussions and activities about diversity and inclusivity, thus cultivating a community where differences are valued. </w:t>
      </w:r>
    </w:p>
    <w:p w14:paraId="48C3DF4F" w14:textId="656A84EA" w:rsidR="00D45056" w:rsidRPr="000B71AF" w:rsidRDefault="000A2256" w:rsidP="00B636AF">
      <w:pPr>
        <w:pStyle w:val="ListParagraph"/>
      </w:pPr>
      <w:r w:rsidRPr="00E34CF2">
        <w:rPr>
          <w:u w:val="single"/>
        </w:rPr>
        <w:t xml:space="preserve">Action Step </w:t>
      </w:r>
      <w:r>
        <w:rPr>
          <w:u w:val="single"/>
        </w:rPr>
        <w:t>3</w:t>
      </w:r>
      <w:r>
        <w:t xml:space="preserve">: </w:t>
      </w:r>
      <w:r w:rsidR="00D45056" w:rsidRPr="000B71AF">
        <w:t>Implement an equity dashboard at CHS to help campus leaders encourage and monitor diversity and inclusion progress. </w:t>
      </w:r>
    </w:p>
    <w:p w14:paraId="3DD92E68" w14:textId="0A192C6D" w:rsidR="00D45056" w:rsidRPr="000B71AF" w:rsidRDefault="00A200C3" w:rsidP="00E12931">
      <w:pPr>
        <w:pStyle w:val="Heading3a"/>
        <w:rPr>
          <w:rFonts w:cs="Helvetica Neue"/>
        </w:rPr>
      </w:pPr>
      <w:r>
        <w:t xml:space="preserve">CHS </w:t>
      </w:r>
      <w:r w:rsidR="00D45056" w:rsidRPr="000B71AF">
        <w:t>Strategic Initiative 2: Improve Workforce Diversity and Inclusion.</w:t>
      </w:r>
    </w:p>
    <w:p w14:paraId="4FD62F49" w14:textId="6D585739" w:rsidR="00D45056" w:rsidRPr="000B71AF" w:rsidRDefault="000A2256" w:rsidP="00B636AF">
      <w:pPr>
        <w:pStyle w:val="ListParagraph"/>
      </w:pPr>
      <w:r>
        <w:rPr>
          <w:u w:val="single"/>
        </w:rPr>
        <w:t>Action Step 1</w:t>
      </w:r>
      <w:r>
        <w:t xml:space="preserve">: </w:t>
      </w:r>
      <w:r w:rsidR="00516BE6">
        <w:t>P</w:t>
      </w:r>
      <w:r w:rsidR="00D45056" w:rsidRPr="000B71AF">
        <w:t>rovide formal inclusiveness and diversity professional development for all faculty, staff, managers, and supervisors, including training on explicit (conscious) and implicit (unconscious) bias and training on how to structurally create inclusive working and learning environments.</w:t>
      </w:r>
    </w:p>
    <w:p w14:paraId="5CDAD59C" w14:textId="05A5B1AF" w:rsidR="00D45056" w:rsidRDefault="000A2256" w:rsidP="00B636AF">
      <w:pPr>
        <w:pStyle w:val="ListParagraph"/>
      </w:pPr>
      <w:r>
        <w:rPr>
          <w:u w:val="single"/>
        </w:rPr>
        <w:t>Action Step 2</w:t>
      </w:r>
      <w:r>
        <w:t xml:space="preserve">: </w:t>
      </w:r>
      <w:r w:rsidR="00D45056" w:rsidRPr="000B71AF">
        <w:t>Increase diversity in number, proportion</w:t>
      </w:r>
      <w:r w:rsidR="00014D5C">
        <w:t>,</w:t>
      </w:r>
      <w:r w:rsidR="00D45056" w:rsidRPr="000B71AF">
        <w:t xml:space="preserve"> and retention in all workforce position categories including faculty, where representation is less than proportionate.</w:t>
      </w:r>
    </w:p>
    <w:p w14:paraId="03E9A3E6" w14:textId="7E20701B" w:rsidR="000A2256" w:rsidRDefault="000A2256">
      <w:pPr>
        <w:spacing w:after="0"/>
      </w:pPr>
      <w:r>
        <w:br w:type="page"/>
      </w:r>
    </w:p>
    <w:p w14:paraId="39B8851C" w14:textId="2DFE8C16" w:rsidR="00D45056" w:rsidRPr="000B71AF" w:rsidRDefault="00516BE6" w:rsidP="00E12931">
      <w:pPr>
        <w:pStyle w:val="Heading3a"/>
        <w:rPr>
          <w:rFonts w:cs="Helvetica Neue"/>
        </w:rPr>
      </w:pPr>
      <w:r>
        <w:lastRenderedPageBreak/>
        <w:t xml:space="preserve">CHS </w:t>
      </w:r>
      <w:r w:rsidR="00D45056" w:rsidRPr="000B71AF">
        <w:t>Strategic initiative 3: Engage diverse worldviews and perspectives by increasing awareness of diversity and by communications across campus that address these issues.</w:t>
      </w:r>
    </w:p>
    <w:p w14:paraId="3B5DB8B3" w14:textId="4578595A" w:rsidR="00D45056" w:rsidRPr="00213844" w:rsidRDefault="000A2256" w:rsidP="00B636AF">
      <w:pPr>
        <w:pStyle w:val="ListParagraph"/>
        <w:rPr>
          <w:rFonts w:cs="Helvetica Neue"/>
        </w:rPr>
      </w:pPr>
      <w:r w:rsidRPr="00E34CF2">
        <w:rPr>
          <w:u w:val="single"/>
        </w:rPr>
        <w:t>Action Step 1</w:t>
      </w:r>
      <w:r>
        <w:t xml:space="preserve">: </w:t>
      </w:r>
      <w:r w:rsidR="00D45056" w:rsidRPr="000B71AF">
        <w:t>Increase and promote student opportunities to explore global perspectives across the curriculum and the co-curriculum.</w:t>
      </w:r>
    </w:p>
    <w:p w14:paraId="1033C1E7" w14:textId="436AE7A8" w:rsidR="00516BE6" w:rsidRPr="00516BE6" w:rsidRDefault="000A2256" w:rsidP="00B636AF">
      <w:pPr>
        <w:pStyle w:val="ListParagraph"/>
        <w:rPr>
          <w:sz w:val="28"/>
          <w:szCs w:val="28"/>
        </w:rPr>
      </w:pPr>
      <w:r>
        <w:rPr>
          <w:u w:val="single"/>
        </w:rPr>
        <w:t>Action Step 2</w:t>
      </w:r>
      <w:r>
        <w:t xml:space="preserve">: </w:t>
      </w:r>
      <w:r w:rsidR="00D45056" w:rsidRPr="000B71AF">
        <w:t>Align</w:t>
      </w:r>
      <w:r w:rsidR="00D45056" w:rsidRPr="00516BE6">
        <w:rPr>
          <w:rFonts w:cs="Helvetica Neue"/>
        </w:rPr>
        <w:t xml:space="preserve"> </w:t>
      </w:r>
      <w:r w:rsidR="00D45056" w:rsidRPr="000B71AF">
        <w:t>and integrate diversity and inclusion education, training, and communication with the Office for Institutional Diversity to track initiatives and</w:t>
      </w:r>
      <w:r w:rsidR="00516BE6">
        <w:t xml:space="preserve"> outcomes that are sustainable.</w:t>
      </w:r>
      <w:r w:rsidR="00516BE6" w:rsidRPr="00516BE6">
        <w:rPr>
          <w:sz w:val="28"/>
          <w:szCs w:val="28"/>
        </w:rPr>
        <w:br w:type="page"/>
      </w:r>
    </w:p>
    <w:p w14:paraId="5103B625" w14:textId="4E470667" w:rsidR="00D45056" w:rsidRPr="000B71AF" w:rsidRDefault="00824166" w:rsidP="002C2BB3">
      <w:pPr>
        <w:pStyle w:val="Heading2"/>
      </w:pPr>
      <w:r>
        <w:lastRenderedPageBreak/>
        <w:t>Metrics</w:t>
      </w:r>
    </w:p>
    <w:tbl>
      <w:tblPr>
        <w:tblStyle w:val="Style1"/>
        <w:tblW w:w="10080" w:type="dxa"/>
        <w:tblLayout w:type="fixed"/>
        <w:tblLook w:val="04A0" w:firstRow="1" w:lastRow="0" w:firstColumn="1" w:lastColumn="0" w:noHBand="0" w:noVBand="1"/>
      </w:tblPr>
      <w:tblGrid>
        <w:gridCol w:w="2520"/>
        <w:gridCol w:w="3240"/>
        <w:gridCol w:w="2160"/>
        <w:gridCol w:w="2160"/>
      </w:tblGrid>
      <w:tr w:rsidR="007177E1" w:rsidRPr="000B71AF" w14:paraId="50044D1A" w14:textId="77777777" w:rsidTr="007177E1">
        <w:trPr>
          <w:cnfStyle w:val="100000000000" w:firstRow="1" w:lastRow="0" w:firstColumn="0" w:lastColumn="0" w:oddVBand="0" w:evenVBand="0" w:oddHBand="0" w:evenHBand="0" w:firstRowFirstColumn="0" w:firstRowLastColumn="0" w:lastRowFirstColumn="0" w:lastRowLastColumn="0"/>
          <w:tblHeader/>
        </w:trPr>
        <w:tc>
          <w:tcPr>
            <w:tcW w:w="2520" w:type="dxa"/>
            <w:vAlign w:val="bottom"/>
          </w:tcPr>
          <w:p w14:paraId="2CA27477" w14:textId="38FF1D6B" w:rsidR="007177E1" w:rsidRPr="00022E15" w:rsidRDefault="007177E1" w:rsidP="00022E15">
            <w:pPr>
              <w:spacing w:after="0"/>
              <w:rPr>
                <w:b/>
              </w:rPr>
            </w:pPr>
            <w:r w:rsidRPr="00022E15">
              <w:rPr>
                <w:b/>
              </w:rPr>
              <w:t>Metric</w:t>
            </w:r>
          </w:p>
        </w:tc>
        <w:tc>
          <w:tcPr>
            <w:tcW w:w="3240" w:type="dxa"/>
            <w:vAlign w:val="bottom"/>
          </w:tcPr>
          <w:p w14:paraId="6F5ABFE3" w14:textId="2E185263" w:rsidR="007177E1" w:rsidRPr="00022E15" w:rsidRDefault="007177E1" w:rsidP="00022E15">
            <w:pPr>
              <w:spacing w:after="0"/>
              <w:rPr>
                <w:b/>
              </w:rPr>
            </w:pPr>
            <w:r w:rsidRPr="00022E15">
              <w:rPr>
                <w:b/>
              </w:rPr>
              <w:t>Definition</w:t>
            </w:r>
          </w:p>
        </w:tc>
        <w:tc>
          <w:tcPr>
            <w:tcW w:w="2160" w:type="dxa"/>
            <w:vAlign w:val="bottom"/>
          </w:tcPr>
          <w:p w14:paraId="7B64F6C8" w14:textId="77777777" w:rsidR="007177E1" w:rsidRPr="00022E15" w:rsidRDefault="007177E1" w:rsidP="00022E15">
            <w:pPr>
              <w:spacing w:after="0"/>
              <w:jc w:val="center"/>
              <w:rPr>
                <w:b/>
              </w:rPr>
            </w:pPr>
            <w:r w:rsidRPr="00022E15">
              <w:rPr>
                <w:b/>
              </w:rPr>
              <w:t>CHS Baseline</w:t>
            </w:r>
          </w:p>
        </w:tc>
        <w:tc>
          <w:tcPr>
            <w:tcW w:w="2160" w:type="dxa"/>
            <w:vAlign w:val="bottom"/>
          </w:tcPr>
          <w:p w14:paraId="6B5C53B6" w14:textId="77777777" w:rsidR="007177E1" w:rsidRPr="00022E15" w:rsidRDefault="007177E1" w:rsidP="00022E15">
            <w:pPr>
              <w:spacing w:after="0"/>
              <w:jc w:val="center"/>
              <w:rPr>
                <w:b/>
              </w:rPr>
            </w:pPr>
            <w:r w:rsidRPr="00022E15">
              <w:rPr>
                <w:b/>
              </w:rPr>
              <w:t>CHS 2021 Target</w:t>
            </w:r>
          </w:p>
        </w:tc>
      </w:tr>
      <w:tr w:rsidR="007177E1" w:rsidRPr="000B71AF" w14:paraId="79C9BE59" w14:textId="77777777" w:rsidTr="007177E1">
        <w:trPr>
          <w:trHeight w:val="1086"/>
        </w:trPr>
        <w:tc>
          <w:tcPr>
            <w:tcW w:w="2520" w:type="dxa"/>
          </w:tcPr>
          <w:p w14:paraId="33A3483D" w14:textId="446407F2" w:rsidR="007177E1" w:rsidRPr="00022E15" w:rsidRDefault="007177E1" w:rsidP="00F02E5E">
            <w:pPr>
              <w:spacing w:after="0"/>
            </w:pPr>
            <w:r w:rsidRPr="00022E15">
              <w:t>Enrollment percentage of under-represented undergraduate and graduate students</w:t>
            </w:r>
            <w:r w:rsidR="00D15BDC" w:rsidRPr="00D15BDC">
              <w:rPr>
                <w:vertAlign w:val="superscript"/>
              </w:rPr>
              <w:t>1</w:t>
            </w:r>
          </w:p>
          <w:p w14:paraId="500EAC25" w14:textId="62009691" w:rsidR="007177E1" w:rsidRPr="00022E15" w:rsidRDefault="007177E1" w:rsidP="00F02E5E">
            <w:pPr>
              <w:spacing w:after="0"/>
            </w:pPr>
          </w:p>
        </w:tc>
        <w:tc>
          <w:tcPr>
            <w:tcW w:w="3240" w:type="dxa"/>
          </w:tcPr>
          <w:p w14:paraId="15158BA7" w14:textId="77777777" w:rsidR="007177E1" w:rsidRDefault="007177E1" w:rsidP="00F02E5E">
            <w:pPr>
              <w:spacing w:after="0"/>
            </w:pPr>
            <w:r w:rsidRPr="000B71AF">
              <w:t>Undergraduates</w:t>
            </w:r>
          </w:p>
          <w:p w14:paraId="631169B1" w14:textId="77777777" w:rsidR="000804B3" w:rsidRPr="008C42BA" w:rsidRDefault="000804B3" w:rsidP="000804B3">
            <w:pPr>
              <w:spacing w:after="0"/>
              <w:rPr>
                <w:i/>
                <w:color w:val="000000" w:themeColor="text1"/>
                <w:sz w:val="20"/>
                <w:szCs w:val="20"/>
              </w:rPr>
            </w:pPr>
            <w:r>
              <w:rPr>
                <w:i/>
                <w:color w:val="000000" w:themeColor="text1"/>
                <w:sz w:val="20"/>
                <w:szCs w:val="20"/>
              </w:rPr>
              <w:t>(</w:t>
            </w:r>
            <w:r w:rsidRPr="008C42BA">
              <w:rPr>
                <w:i/>
                <w:color w:val="000000" w:themeColor="text1"/>
                <w:sz w:val="20"/>
                <w:szCs w:val="20"/>
              </w:rPr>
              <w:t>Fall 2014</w:t>
            </w:r>
            <w:r>
              <w:rPr>
                <w:i/>
                <w:color w:val="000000" w:themeColor="text1"/>
                <w:sz w:val="20"/>
                <w:szCs w:val="20"/>
              </w:rPr>
              <w:t>)</w:t>
            </w:r>
          </w:p>
          <w:p w14:paraId="4649563A" w14:textId="77777777" w:rsidR="00C27F87" w:rsidRPr="008C42BA" w:rsidRDefault="00C27F87" w:rsidP="00F02E5E">
            <w:pPr>
              <w:spacing w:after="0"/>
              <w:rPr>
                <w:i/>
                <w:sz w:val="20"/>
                <w:szCs w:val="20"/>
              </w:rPr>
            </w:pPr>
          </w:p>
          <w:p w14:paraId="5903F6F1" w14:textId="77777777" w:rsidR="007177E1" w:rsidRDefault="007177E1" w:rsidP="00F02E5E">
            <w:pPr>
              <w:spacing w:after="0"/>
            </w:pPr>
            <w:r w:rsidRPr="000B71AF">
              <w:t>Graduates</w:t>
            </w:r>
          </w:p>
          <w:p w14:paraId="5DEEEF24" w14:textId="46963B91" w:rsidR="008C42BA" w:rsidRPr="000804B3" w:rsidRDefault="000804B3" w:rsidP="008C42BA">
            <w:pPr>
              <w:spacing w:after="0"/>
              <w:rPr>
                <w:i/>
                <w:color w:val="000000" w:themeColor="text1"/>
                <w:sz w:val="20"/>
                <w:szCs w:val="20"/>
              </w:rPr>
            </w:pPr>
            <w:r>
              <w:rPr>
                <w:i/>
                <w:color w:val="000000" w:themeColor="text1"/>
                <w:sz w:val="20"/>
                <w:szCs w:val="20"/>
              </w:rPr>
              <w:t>(</w:t>
            </w:r>
            <w:r w:rsidRPr="008C42BA">
              <w:rPr>
                <w:i/>
                <w:color w:val="000000" w:themeColor="text1"/>
                <w:sz w:val="20"/>
                <w:szCs w:val="20"/>
              </w:rPr>
              <w:t>Fall 2014</w:t>
            </w:r>
            <w:r>
              <w:rPr>
                <w:i/>
                <w:color w:val="000000" w:themeColor="text1"/>
                <w:sz w:val="20"/>
                <w:szCs w:val="20"/>
              </w:rPr>
              <w:t>)</w:t>
            </w:r>
          </w:p>
        </w:tc>
        <w:tc>
          <w:tcPr>
            <w:tcW w:w="2160" w:type="dxa"/>
          </w:tcPr>
          <w:p w14:paraId="1D98CB5F" w14:textId="77777777" w:rsidR="007177E1" w:rsidRDefault="007177E1" w:rsidP="00F02E5E">
            <w:pPr>
              <w:spacing w:after="0"/>
              <w:jc w:val="center"/>
            </w:pPr>
            <w:r w:rsidRPr="000B71AF">
              <w:t>9.1%</w:t>
            </w:r>
          </w:p>
          <w:p w14:paraId="28FFC466" w14:textId="77777777" w:rsidR="007177E1" w:rsidRPr="00C27F87" w:rsidRDefault="007177E1" w:rsidP="00F02E5E">
            <w:pPr>
              <w:spacing w:after="0"/>
              <w:jc w:val="center"/>
              <w:rPr>
                <w:sz w:val="20"/>
              </w:rPr>
            </w:pPr>
          </w:p>
          <w:p w14:paraId="067DCD09" w14:textId="77777777" w:rsidR="00C27F87" w:rsidRPr="00C27F87" w:rsidRDefault="00C27F87" w:rsidP="00F02E5E">
            <w:pPr>
              <w:spacing w:after="0"/>
              <w:jc w:val="center"/>
              <w:rPr>
                <w:sz w:val="20"/>
              </w:rPr>
            </w:pPr>
          </w:p>
          <w:p w14:paraId="3C55D785" w14:textId="09BEC9E4" w:rsidR="007177E1" w:rsidRPr="000B71AF" w:rsidRDefault="007177E1" w:rsidP="00F02E5E">
            <w:pPr>
              <w:spacing w:after="0"/>
              <w:jc w:val="center"/>
            </w:pPr>
            <w:r w:rsidRPr="000B71AF">
              <w:t>5.5%</w:t>
            </w:r>
          </w:p>
        </w:tc>
        <w:tc>
          <w:tcPr>
            <w:tcW w:w="2160" w:type="dxa"/>
          </w:tcPr>
          <w:p w14:paraId="15D78AF6" w14:textId="77777777" w:rsidR="007177E1" w:rsidRDefault="007177E1" w:rsidP="00F02E5E">
            <w:pPr>
              <w:spacing w:after="0"/>
              <w:jc w:val="center"/>
            </w:pPr>
            <w:r w:rsidRPr="000B71AF">
              <w:t>11.0%</w:t>
            </w:r>
          </w:p>
          <w:p w14:paraId="771E40DD" w14:textId="77777777" w:rsidR="007177E1" w:rsidRPr="00C27F87" w:rsidRDefault="007177E1" w:rsidP="00F02E5E">
            <w:pPr>
              <w:spacing w:after="0"/>
              <w:jc w:val="center"/>
              <w:rPr>
                <w:sz w:val="20"/>
              </w:rPr>
            </w:pPr>
          </w:p>
          <w:p w14:paraId="232F7D35" w14:textId="77777777" w:rsidR="00C27F87" w:rsidRPr="00C27F87" w:rsidRDefault="00C27F87" w:rsidP="00F02E5E">
            <w:pPr>
              <w:spacing w:after="0"/>
              <w:jc w:val="center"/>
              <w:rPr>
                <w:sz w:val="20"/>
              </w:rPr>
            </w:pPr>
          </w:p>
          <w:p w14:paraId="4439D5BE" w14:textId="7B32565B" w:rsidR="007177E1" w:rsidRPr="000B71AF" w:rsidRDefault="007177E1" w:rsidP="00F02E5E">
            <w:pPr>
              <w:spacing w:after="0"/>
              <w:jc w:val="center"/>
            </w:pPr>
            <w:r w:rsidRPr="000B71AF">
              <w:t>8</w:t>
            </w:r>
            <w:r>
              <w:t>.0</w:t>
            </w:r>
            <w:r w:rsidRPr="000B71AF">
              <w:t>%</w:t>
            </w:r>
          </w:p>
        </w:tc>
      </w:tr>
      <w:tr w:rsidR="007177E1" w:rsidRPr="0003434B" w14:paraId="6EB8406E" w14:textId="77777777" w:rsidTr="007177E1">
        <w:trPr>
          <w:trHeight w:val="1631"/>
        </w:trPr>
        <w:tc>
          <w:tcPr>
            <w:tcW w:w="2520" w:type="dxa"/>
          </w:tcPr>
          <w:p w14:paraId="7AA85829" w14:textId="6BCB3BD1" w:rsidR="007177E1" w:rsidRPr="0003434B" w:rsidRDefault="007177E1" w:rsidP="00F02E5E">
            <w:pPr>
              <w:spacing w:after="0"/>
              <w:rPr>
                <w:color w:val="000000" w:themeColor="text1"/>
              </w:rPr>
            </w:pPr>
            <w:r w:rsidRPr="0003434B">
              <w:rPr>
                <w:color w:val="000000" w:themeColor="text1"/>
              </w:rPr>
              <w:t xml:space="preserve">Enrollment percentage of URM </w:t>
            </w:r>
          </w:p>
          <w:p w14:paraId="274B27F7" w14:textId="0D7FD6F6" w:rsidR="007177E1" w:rsidRPr="0003434B" w:rsidRDefault="007177E1" w:rsidP="00F02E5E">
            <w:pPr>
              <w:spacing w:after="0"/>
              <w:rPr>
                <w:color w:val="000000" w:themeColor="text1"/>
                <w:vertAlign w:val="superscript"/>
              </w:rPr>
            </w:pPr>
            <w:r w:rsidRPr="0003434B">
              <w:rPr>
                <w:color w:val="000000" w:themeColor="text1"/>
              </w:rPr>
              <w:t>Undergraduate &amp; Graduate Students</w:t>
            </w:r>
            <w:r w:rsidR="007C6B04">
              <w:rPr>
                <w:color w:val="000000" w:themeColor="text1"/>
              </w:rPr>
              <w:t xml:space="preserve"> </w:t>
            </w:r>
            <w:r w:rsidR="007C6B04" w:rsidRPr="00C27F87">
              <w:rPr>
                <w:i/>
                <w:color w:val="000000" w:themeColor="text1"/>
                <w:sz w:val="20"/>
              </w:rPr>
              <w:t>(</w:t>
            </w:r>
            <w:r w:rsidRPr="00C27F87">
              <w:rPr>
                <w:i/>
                <w:color w:val="000000" w:themeColor="text1"/>
                <w:sz w:val="20"/>
              </w:rPr>
              <w:t>CPE Underrepresented definition</w:t>
            </w:r>
            <w:r w:rsidR="007C6B04" w:rsidRPr="00C27F87">
              <w:rPr>
                <w:i/>
                <w:color w:val="000000" w:themeColor="text1"/>
                <w:sz w:val="20"/>
              </w:rPr>
              <w:t>)</w:t>
            </w:r>
            <w:r w:rsidRPr="00C27F87">
              <w:rPr>
                <w:i/>
                <w:color w:val="000000" w:themeColor="text1"/>
                <w:sz w:val="20"/>
                <w:vertAlign w:val="superscript"/>
              </w:rPr>
              <w:t>1</w:t>
            </w:r>
          </w:p>
          <w:p w14:paraId="0EF54A0E" w14:textId="77777777" w:rsidR="007177E1" w:rsidRPr="0003434B" w:rsidRDefault="007177E1" w:rsidP="00F02E5E">
            <w:pPr>
              <w:spacing w:after="0"/>
              <w:rPr>
                <w:color w:val="000000" w:themeColor="text1"/>
              </w:rPr>
            </w:pPr>
          </w:p>
        </w:tc>
        <w:tc>
          <w:tcPr>
            <w:tcW w:w="3240" w:type="dxa"/>
          </w:tcPr>
          <w:p w14:paraId="0948E701" w14:textId="77777777" w:rsidR="007177E1" w:rsidRPr="0003434B" w:rsidRDefault="007177E1" w:rsidP="00F02E5E">
            <w:pPr>
              <w:spacing w:after="0"/>
              <w:rPr>
                <w:color w:val="000000" w:themeColor="text1"/>
              </w:rPr>
            </w:pPr>
            <w:r w:rsidRPr="0003434B">
              <w:rPr>
                <w:color w:val="000000" w:themeColor="text1"/>
              </w:rPr>
              <w:t>Undergraduates</w:t>
            </w:r>
          </w:p>
          <w:p w14:paraId="190CEFDA" w14:textId="46A46639" w:rsidR="007177E1" w:rsidRPr="008C42BA" w:rsidRDefault="008C42BA" w:rsidP="00F02E5E">
            <w:pPr>
              <w:spacing w:after="0"/>
              <w:rPr>
                <w:i/>
                <w:color w:val="000000" w:themeColor="text1"/>
                <w:sz w:val="20"/>
                <w:szCs w:val="20"/>
              </w:rPr>
            </w:pPr>
            <w:r>
              <w:rPr>
                <w:i/>
                <w:color w:val="000000" w:themeColor="text1"/>
                <w:sz w:val="20"/>
                <w:szCs w:val="20"/>
              </w:rPr>
              <w:t>(</w:t>
            </w:r>
            <w:r w:rsidR="007177E1" w:rsidRPr="008C42BA">
              <w:rPr>
                <w:i/>
                <w:color w:val="000000" w:themeColor="text1"/>
                <w:sz w:val="20"/>
                <w:szCs w:val="20"/>
              </w:rPr>
              <w:t>Fall 2014</w:t>
            </w:r>
            <w:r>
              <w:rPr>
                <w:i/>
                <w:color w:val="000000" w:themeColor="text1"/>
                <w:sz w:val="20"/>
                <w:szCs w:val="20"/>
              </w:rPr>
              <w:t>)</w:t>
            </w:r>
          </w:p>
          <w:p w14:paraId="6EC2BA75" w14:textId="77777777" w:rsidR="007177E1" w:rsidRPr="0003434B" w:rsidRDefault="007177E1" w:rsidP="00F02E5E">
            <w:pPr>
              <w:spacing w:after="0"/>
              <w:rPr>
                <w:color w:val="000000" w:themeColor="text1"/>
              </w:rPr>
            </w:pPr>
          </w:p>
          <w:p w14:paraId="205A4441" w14:textId="77777777" w:rsidR="007177E1" w:rsidRPr="0003434B" w:rsidRDefault="007177E1" w:rsidP="00F02E5E">
            <w:pPr>
              <w:spacing w:after="0"/>
              <w:rPr>
                <w:color w:val="000000" w:themeColor="text1"/>
              </w:rPr>
            </w:pPr>
            <w:r w:rsidRPr="0003434B">
              <w:rPr>
                <w:color w:val="000000" w:themeColor="text1"/>
              </w:rPr>
              <w:t>Graduates</w:t>
            </w:r>
          </w:p>
          <w:p w14:paraId="7326B108" w14:textId="51942476" w:rsidR="007177E1" w:rsidRPr="008C42BA" w:rsidRDefault="008C42BA" w:rsidP="00F02E5E">
            <w:pPr>
              <w:spacing w:after="0"/>
              <w:rPr>
                <w:i/>
                <w:color w:val="000000" w:themeColor="text1"/>
                <w:sz w:val="20"/>
                <w:szCs w:val="20"/>
              </w:rPr>
            </w:pPr>
            <w:r>
              <w:rPr>
                <w:i/>
                <w:color w:val="000000" w:themeColor="text1"/>
                <w:sz w:val="20"/>
                <w:szCs w:val="20"/>
              </w:rPr>
              <w:t>(</w:t>
            </w:r>
            <w:r w:rsidRPr="008C42BA">
              <w:rPr>
                <w:i/>
                <w:color w:val="000000" w:themeColor="text1"/>
                <w:sz w:val="20"/>
                <w:szCs w:val="20"/>
              </w:rPr>
              <w:t>Fall 2014</w:t>
            </w:r>
            <w:r>
              <w:rPr>
                <w:i/>
                <w:color w:val="000000" w:themeColor="text1"/>
                <w:sz w:val="20"/>
                <w:szCs w:val="20"/>
              </w:rPr>
              <w:t>)</w:t>
            </w:r>
          </w:p>
        </w:tc>
        <w:tc>
          <w:tcPr>
            <w:tcW w:w="2160" w:type="dxa"/>
          </w:tcPr>
          <w:p w14:paraId="7B771FB9" w14:textId="77777777" w:rsidR="007177E1" w:rsidRPr="0003434B" w:rsidRDefault="007177E1" w:rsidP="00F02E5E">
            <w:pPr>
              <w:spacing w:after="0"/>
              <w:jc w:val="center"/>
              <w:rPr>
                <w:color w:val="000000" w:themeColor="text1"/>
              </w:rPr>
            </w:pPr>
            <w:r w:rsidRPr="0003434B">
              <w:rPr>
                <w:color w:val="000000" w:themeColor="text1"/>
              </w:rPr>
              <w:t>11.8%</w:t>
            </w:r>
          </w:p>
          <w:p w14:paraId="18179ADA" w14:textId="77777777" w:rsidR="007177E1" w:rsidRDefault="007177E1" w:rsidP="00F02E5E">
            <w:pPr>
              <w:spacing w:after="0"/>
              <w:jc w:val="center"/>
              <w:rPr>
                <w:color w:val="000000" w:themeColor="text1"/>
              </w:rPr>
            </w:pPr>
          </w:p>
          <w:p w14:paraId="79DA7672" w14:textId="77777777" w:rsidR="007177E1" w:rsidRPr="0003434B" w:rsidRDefault="007177E1" w:rsidP="00F02E5E">
            <w:pPr>
              <w:spacing w:after="0"/>
              <w:jc w:val="center"/>
              <w:rPr>
                <w:color w:val="000000" w:themeColor="text1"/>
              </w:rPr>
            </w:pPr>
          </w:p>
          <w:p w14:paraId="5BD85AF9" w14:textId="2408FB70" w:rsidR="007177E1" w:rsidRPr="0003434B" w:rsidRDefault="007177E1" w:rsidP="00F02E5E">
            <w:pPr>
              <w:spacing w:after="0"/>
              <w:jc w:val="center"/>
              <w:rPr>
                <w:color w:val="000000" w:themeColor="text1"/>
              </w:rPr>
            </w:pPr>
            <w:r w:rsidRPr="0003434B">
              <w:rPr>
                <w:color w:val="000000" w:themeColor="text1"/>
              </w:rPr>
              <w:t>6.7%</w:t>
            </w:r>
          </w:p>
        </w:tc>
        <w:tc>
          <w:tcPr>
            <w:tcW w:w="2160" w:type="dxa"/>
          </w:tcPr>
          <w:p w14:paraId="6BDC12B1" w14:textId="77C86430" w:rsidR="007177E1" w:rsidRPr="0003434B" w:rsidRDefault="007177E1" w:rsidP="00F02E5E">
            <w:pPr>
              <w:spacing w:after="0"/>
              <w:jc w:val="center"/>
              <w:rPr>
                <w:color w:val="000000" w:themeColor="text1"/>
              </w:rPr>
            </w:pPr>
            <w:r>
              <w:rPr>
                <w:color w:val="000000" w:themeColor="text1"/>
              </w:rPr>
              <w:t>15.0</w:t>
            </w:r>
            <w:r w:rsidRPr="0003434B">
              <w:rPr>
                <w:color w:val="000000" w:themeColor="text1"/>
              </w:rPr>
              <w:t>%</w:t>
            </w:r>
          </w:p>
          <w:p w14:paraId="5C9C6C3E" w14:textId="77777777" w:rsidR="007177E1" w:rsidRDefault="007177E1" w:rsidP="00F02E5E">
            <w:pPr>
              <w:spacing w:after="0"/>
              <w:jc w:val="center"/>
              <w:rPr>
                <w:color w:val="000000" w:themeColor="text1"/>
              </w:rPr>
            </w:pPr>
          </w:p>
          <w:p w14:paraId="4CFEE5AE" w14:textId="77777777" w:rsidR="007177E1" w:rsidRPr="0003434B" w:rsidRDefault="007177E1" w:rsidP="00F02E5E">
            <w:pPr>
              <w:spacing w:after="0"/>
              <w:jc w:val="center"/>
              <w:rPr>
                <w:color w:val="000000" w:themeColor="text1"/>
              </w:rPr>
            </w:pPr>
          </w:p>
          <w:p w14:paraId="1626EF55" w14:textId="5527ED53" w:rsidR="007177E1" w:rsidRPr="0003434B" w:rsidRDefault="007177E1" w:rsidP="00F02E5E">
            <w:pPr>
              <w:spacing w:after="0"/>
              <w:jc w:val="center"/>
              <w:rPr>
                <w:color w:val="000000" w:themeColor="text1"/>
              </w:rPr>
            </w:pPr>
            <w:r>
              <w:rPr>
                <w:color w:val="000000" w:themeColor="text1"/>
              </w:rPr>
              <w:t>9.0</w:t>
            </w:r>
            <w:r w:rsidRPr="0003434B">
              <w:rPr>
                <w:color w:val="000000" w:themeColor="text1"/>
              </w:rPr>
              <w:t>%</w:t>
            </w:r>
          </w:p>
        </w:tc>
      </w:tr>
      <w:tr w:rsidR="007177E1" w:rsidRPr="000B71AF" w14:paraId="0E86EB17" w14:textId="77777777" w:rsidTr="007177E1">
        <w:trPr>
          <w:trHeight w:val="2449"/>
        </w:trPr>
        <w:tc>
          <w:tcPr>
            <w:tcW w:w="2520" w:type="dxa"/>
          </w:tcPr>
          <w:p w14:paraId="4973866B" w14:textId="77777777" w:rsidR="007177E1" w:rsidRPr="00022E15" w:rsidRDefault="007177E1" w:rsidP="00F02E5E">
            <w:pPr>
              <w:spacing w:after="0"/>
            </w:pPr>
            <w:r w:rsidRPr="00022E15">
              <w:t>Graduation rate for under-represented students</w:t>
            </w:r>
          </w:p>
        </w:tc>
        <w:tc>
          <w:tcPr>
            <w:tcW w:w="3240" w:type="dxa"/>
          </w:tcPr>
          <w:p w14:paraId="2D1F4FF0" w14:textId="0441C4E5" w:rsidR="007177E1" w:rsidRPr="000B71AF" w:rsidRDefault="007177E1" w:rsidP="00F02E5E">
            <w:pPr>
              <w:spacing w:after="0"/>
            </w:pPr>
            <w:r w:rsidRPr="008C42BA">
              <w:t>Undergraduates</w:t>
            </w:r>
            <w:r w:rsidRPr="00D53DA3">
              <w:rPr>
                <w:vertAlign w:val="superscript"/>
              </w:rPr>
              <w:t>2</w:t>
            </w:r>
            <w:r w:rsidR="008C42BA">
              <w:t>—</w:t>
            </w:r>
            <w:r w:rsidR="008C42BA" w:rsidRPr="008C42BA">
              <w:t>6</w:t>
            </w:r>
            <w:r w:rsidR="008C42BA">
              <w:t xml:space="preserve"> year cohort</w:t>
            </w:r>
          </w:p>
          <w:p w14:paraId="72D39699" w14:textId="48F133C8" w:rsidR="007177E1" w:rsidRPr="008C42BA" w:rsidRDefault="008C42BA" w:rsidP="00F02E5E">
            <w:pPr>
              <w:spacing w:after="0"/>
              <w:rPr>
                <w:i/>
                <w:sz w:val="20"/>
                <w:szCs w:val="20"/>
              </w:rPr>
            </w:pPr>
            <w:r>
              <w:rPr>
                <w:i/>
                <w:sz w:val="20"/>
                <w:szCs w:val="20"/>
              </w:rPr>
              <w:t>(</w:t>
            </w:r>
            <w:r w:rsidR="007177E1" w:rsidRPr="008C42BA">
              <w:rPr>
                <w:i/>
                <w:sz w:val="20"/>
                <w:szCs w:val="20"/>
              </w:rPr>
              <w:t>Fall 2008</w:t>
            </w:r>
            <w:r>
              <w:rPr>
                <w:i/>
                <w:sz w:val="20"/>
                <w:szCs w:val="20"/>
              </w:rPr>
              <w:t>)</w:t>
            </w:r>
          </w:p>
          <w:p w14:paraId="77F17890" w14:textId="77777777" w:rsidR="007177E1" w:rsidRPr="000B71AF" w:rsidRDefault="007177E1" w:rsidP="00F02E5E">
            <w:pPr>
              <w:spacing w:after="0"/>
            </w:pPr>
          </w:p>
          <w:p w14:paraId="124AE688" w14:textId="6B7072C1" w:rsidR="007177E1" w:rsidRPr="000B71AF" w:rsidRDefault="008C42BA" w:rsidP="00F02E5E">
            <w:pPr>
              <w:spacing w:after="0"/>
            </w:pPr>
            <w:r>
              <w:t>Master’s—3 year cohort</w:t>
            </w:r>
          </w:p>
          <w:p w14:paraId="5E7AA5CD" w14:textId="3C2C946D" w:rsidR="007177E1" w:rsidRPr="008C42BA" w:rsidRDefault="008C42BA" w:rsidP="00F02E5E">
            <w:pPr>
              <w:spacing w:after="0"/>
              <w:rPr>
                <w:i/>
                <w:sz w:val="20"/>
                <w:szCs w:val="20"/>
              </w:rPr>
            </w:pPr>
            <w:r>
              <w:rPr>
                <w:i/>
                <w:sz w:val="20"/>
                <w:szCs w:val="20"/>
              </w:rPr>
              <w:t>(</w:t>
            </w:r>
            <w:r w:rsidR="007177E1" w:rsidRPr="008C42BA">
              <w:rPr>
                <w:i/>
                <w:sz w:val="20"/>
                <w:szCs w:val="20"/>
              </w:rPr>
              <w:t>Fall 2012</w:t>
            </w:r>
            <w:r>
              <w:rPr>
                <w:i/>
                <w:sz w:val="20"/>
                <w:szCs w:val="20"/>
              </w:rPr>
              <w:t>)</w:t>
            </w:r>
          </w:p>
          <w:p w14:paraId="05AB17B0" w14:textId="77777777" w:rsidR="007177E1" w:rsidRPr="000B71AF" w:rsidRDefault="007177E1" w:rsidP="00F02E5E">
            <w:pPr>
              <w:spacing w:after="0"/>
            </w:pPr>
          </w:p>
          <w:p w14:paraId="4BB76C0E" w14:textId="76A484FA" w:rsidR="007177E1" w:rsidRPr="000B71AF" w:rsidRDefault="007177E1" w:rsidP="00F02E5E">
            <w:pPr>
              <w:spacing w:after="0"/>
            </w:pPr>
            <w:r w:rsidRPr="000B71AF">
              <w:t>Doctoral</w:t>
            </w:r>
            <w:r w:rsidR="008C42BA">
              <w:t>—7 year cohort</w:t>
            </w:r>
          </w:p>
          <w:p w14:paraId="254A7ABD" w14:textId="5E631C72" w:rsidR="007177E1" w:rsidRPr="008C42BA" w:rsidRDefault="008C42BA" w:rsidP="00F02E5E">
            <w:pPr>
              <w:spacing w:after="0"/>
              <w:rPr>
                <w:i/>
              </w:rPr>
            </w:pPr>
            <w:r>
              <w:rPr>
                <w:i/>
                <w:sz w:val="20"/>
              </w:rPr>
              <w:t>(</w:t>
            </w:r>
            <w:r w:rsidR="007177E1" w:rsidRPr="008C42BA">
              <w:rPr>
                <w:i/>
                <w:sz w:val="20"/>
              </w:rPr>
              <w:t>Fall 2008</w:t>
            </w:r>
            <w:r>
              <w:rPr>
                <w:i/>
                <w:sz w:val="20"/>
              </w:rPr>
              <w:t>)</w:t>
            </w:r>
          </w:p>
        </w:tc>
        <w:tc>
          <w:tcPr>
            <w:tcW w:w="2160" w:type="dxa"/>
          </w:tcPr>
          <w:p w14:paraId="0288FF2B" w14:textId="77777777" w:rsidR="007177E1" w:rsidRDefault="007177E1" w:rsidP="00F02E5E">
            <w:pPr>
              <w:spacing w:after="0"/>
              <w:jc w:val="center"/>
            </w:pPr>
            <w:r w:rsidRPr="000B71AF">
              <w:t>35.3%</w:t>
            </w:r>
          </w:p>
          <w:p w14:paraId="107A73AD" w14:textId="77777777" w:rsidR="007177E1" w:rsidRDefault="007177E1" w:rsidP="00F02E5E">
            <w:pPr>
              <w:spacing w:after="0"/>
              <w:jc w:val="center"/>
            </w:pPr>
          </w:p>
          <w:p w14:paraId="44B474E3" w14:textId="77777777" w:rsidR="007177E1" w:rsidRDefault="007177E1" w:rsidP="00F02E5E">
            <w:pPr>
              <w:spacing w:after="0"/>
              <w:jc w:val="center"/>
            </w:pPr>
          </w:p>
          <w:p w14:paraId="59F4F56A" w14:textId="77777777" w:rsidR="007177E1" w:rsidRPr="000B71AF" w:rsidRDefault="007177E1" w:rsidP="00F02E5E">
            <w:pPr>
              <w:spacing w:after="0"/>
              <w:jc w:val="center"/>
            </w:pPr>
          </w:p>
          <w:p w14:paraId="5CB1C386" w14:textId="2577D241" w:rsidR="007177E1" w:rsidRPr="000B71AF" w:rsidRDefault="007177E1" w:rsidP="00F02E5E">
            <w:pPr>
              <w:spacing w:after="0"/>
              <w:jc w:val="center"/>
            </w:pPr>
            <w:r w:rsidRPr="000B71AF">
              <w:t>100</w:t>
            </w:r>
            <w:r>
              <w:t>%</w:t>
            </w:r>
          </w:p>
          <w:p w14:paraId="00C9CCED" w14:textId="77777777" w:rsidR="007177E1" w:rsidRDefault="007177E1" w:rsidP="00F02E5E">
            <w:pPr>
              <w:spacing w:after="0"/>
              <w:jc w:val="center"/>
            </w:pPr>
          </w:p>
          <w:p w14:paraId="58C7543F" w14:textId="77777777" w:rsidR="007177E1" w:rsidRDefault="007177E1" w:rsidP="00F02E5E">
            <w:pPr>
              <w:spacing w:after="0"/>
              <w:jc w:val="center"/>
            </w:pPr>
          </w:p>
          <w:p w14:paraId="54956E98" w14:textId="6078156A" w:rsidR="007177E1" w:rsidRPr="000B71AF" w:rsidRDefault="007177E1" w:rsidP="007177E1">
            <w:pPr>
              <w:jc w:val="center"/>
            </w:pPr>
            <w:r>
              <w:t xml:space="preserve">-- </w:t>
            </w:r>
          </w:p>
        </w:tc>
        <w:tc>
          <w:tcPr>
            <w:tcW w:w="2160" w:type="dxa"/>
          </w:tcPr>
          <w:p w14:paraId="74221B53" w14:textId="5DB879E0" w:rsidR="007177E1" w:rsidRDefault="007177E1" w:rsidP="00F02E5E">
            <w:pPr>
              <w:spacing w:after="0"/>
              <w:jc w:val="center"/>
            </w:pPr>
            <w:r w:rsidRPr="000B71AF">
              <w:t>50</w:t>
            </w:r>
            <w:r>
              <w:t>.0</w:t>
            </w:r>
            <w:r w:rsidRPr="000B71AF">
              <w:t>%</w:t>
            </w:r>
          </w:p>
          <w:p w14:paraId="30EC5396" w14:textId="77777777" w:rsidR="007177E1" w:rsidRDefault="007177E1" w:rsidP="00F02E5E">
            <w:pPr>
              <w:spacing w:after="0"/>
              <w:jc w:val="center"/>
            </w:pPr>
          </w:p>
          <w:p w14:paraId="754F6A2B" w14:textId="77777777" w:rsidR="007177E1" w:rsidRDefault="007177E1" w:rsidP="00F02E5E">
            <w:pPr>
              <w:spacing w:after="0"/>
              <w:jc w:val="center"/>
            </w:pPr>
          </w:p>
          <w:p w14:paraId="02A8FB2C" w14:textId="77777777" w:rsidR="007177E1" w:rsidRPr="000B71AF" w:rsidRDefault="007177E1" w:rsidP="00F02E5E">
            <w:pPr>
              <w:spacing w:after="0"/>
              <w:jc w:val="center"/>
            </w:pPr>
          </w:p>
          <w:p w14:paraId="5B7F2B33" w14:textId="27B86ABA" w:rsidR="007177E1" w:rsidRPr="000B71AF" w:rsidRDefault="007177E1" w:rsidP="00F02E5E">
            <w:pPr>
              <w:spacing w:after="0"/>
              <w:jc w:val="center"/>
            </w:pPr>
            <w:r w:rsidRPr="000B71AF">
              <w:t>100</w:t>
            </w:r>
            <w:r>
              <w:t>%</w:t>
            </w:r>
          </w:p>
          <w:p w14:paraId="68E32DB3" w14:textId="77777777" w:rsidR="007177E1" w:rsidRDefault="007177E1" w:rsidP="00F02E5E">
            <w:pPr>
              <w:spacing w:after="0"/>
              <w:jc w:val="center"/>
            </w:pPr>
          </w:p>
          <w:p w14:paraId="6E5D0B7C" w14:textId="77777777" w:rsidR="007177E1" w:rsidRDefault="007177E1" w:rsidP="00F02E5E">
            <w:pPr>
              <w:spacing w:after="0"/>
              <w:jc w:val="center"/>
            </w:pPr>
          </w:p>
          <w:p w14:paraId="03C097A9" w14:textId="09286AB5" w:rsidR="007177E1" w:rsidRPr="000B71AF" w:rsidRDefault="007177E1" w:rsidP="00F02E5E">
            <w:pPr>
              <w:spacing w:after="0"/>
              <w:jc w:val="center"/>
            </w:pPr>
            <w:r w:rsidRPr="000B71AF">
              <w:t>95</w:t>
            </w:r>
            <w:r>
              <w:t>.0</w:t>
            </w:r>
            <w:r w:rsidRPr="000B71AF">
              <w:t>%</w:t>
            </w:r>
          </w:p>
        </w:tc>
      </w:tr>
      <w:tr w:rsidR="007177E1" w:rsidRPr="000B71AF" w14:paraId="61390CB7" w14:textId="77777777" w:rsidTr="007177E1">
        <w:trPr>
          <w:trHeight w:val="2449"/>
        </w:trPr>
        <w:tc>
          <w:tcPr>
            <w:tcW w:w="2520" w:type="dxa"/>
          </w:tcPr>
          <w:p w14:paraId="6BD523AC" w14:textId="77777777" w:rsidR="007177E1" w:rsidRPr="00022E15" w:rsidRDefault="007177E1" w:rsidP="00F02E5E">
            <w:pPr>
              <w:spacing w:after="0"/>
            </w:pPr>
            <w:r w:rsidRPr="00022E15">
              <w:t>Faculty</w:t>
            </w:r>
          </w:p>
        </w:tc>
        <w:tc>
          <w:tcPr>
            <w:tcW w:w="3240" w:type="dxa"/>
          </w:tcPr>
          <w:p w14:paraId="41A27115" w14:textId="77777777" w:rsidR="007177E1" w:rsidRDefault="007177E1" w:rsidP="00F02E5E">
            <w:pPr>
              <w:spacing w:after="0"/>
            </w:pPr>
            <w:r w:rsidRPr="000B71AF">
              <w:t>Female</w:t>
            </w:r>
          </w:p>
          <w:p w14:paraId="57566032" w14:textId="390F4A2C" w:rsidR="008C42BA" w:rsidRPr="008C42BA" w:rsidRDefault="008C42BA" w:rsidP="008C42BA">
            <w:pPr>
              <w:spacing w:after="0"/>
              <w:rPr>
                <w:i/>
                <w:sz w:val="20"/>
                <w:szCs w:val="20"/>
              </w:rPr>
            </w:pPr>
            <w:r w:rsidRPr="008C42BA">
              <w:rPr>
                <w:i/>
                <w:sz w:val="20"/>
                <w:szCs w:val="20"/>
              </w:rPr>
              <w:t>(2015-16)</w:t>
            </w:r>
          </w:p>
          <w:p w14:paraId="0F9EBA1B" w14:textId="77777777" w:rsidR="008C42BA" w:rsidRPr="00E25EAA" w:rsidRDefault="008C42BA" w:rsidP="00F02E5E">
            <w:pPr>
              <w:spacing w:after="0"/>
              <w:rPr>
                <w:sz w:val="16"/>
              </w:rPr>
            </w:pPr>
          </w:p>
          <w:p w14:paraId="0FD8FD7C" w14:textId="77777777" w:rsidR="007177E1" w:rsidRDefault="007177E1" w:rsidP="00F02E5E">
            <w:pPr>
              <w:spacing w:after="0"/>
            </w:pPr>
            <w:r w:rsidRPr="000B71AF">
              <w:t>URM Faculty Total</w:t>
            </w:r>
          </w:p>
          <w:p w14:paraId="50205ACF" w14:textId="1DB75915" w:rsidR="007177E1" w:rsidRDefault="008C42BA" w:rsidP="00F02E5E">
            <w:pPr>
              <w:spacing w:after="0"/>
              <w:rPr>
                <w:i/>
                <w:sz w:val="20"/>
                <w:szCs w:val="20"/>
              </w:rPr>
            </w:pPr>
            <w:r w:rsidRPr="008C42BA">
              <w:rPr>
                <w:i/>
                <w:sz w:val="20"/>
                <w:szCs w:val="20"/>
              </w:rPr>
              <w:t>(2015-16)</w:t>
            </w:r>
          </w:p>
          <w:p w14:paraId="40AA36C7" w14:textId="77777777" w:rsidR="008C42BA" w:rsidRPr="00E25EAA" w:rsidRDefault="008C42BA" w:rsidP="00F02E5E">
            <w:pPr>
              <w:spacing w:after="0"/>
              <w:rPr>
                <w:sz w:val="16"/>
              </w:rPr>
            </w:pPr>
          </w:p>
          <w:p w14:paraId="12814322" w14:textId="77777777" w:rsidR="007177E1" w:rsidRDefault="007177E1" w:rsidP="00F02E5E">
            <w:pPr>
              <w:spacing w:after="0"/>
            </w:pPr>
            <w:r w:rsidRPr="000B71AF">
              <w:t>African American/Black</w:t>
            </w:r>
          </w:p>
          <w:p w14:paraId="0448A114" w14:textId="1DE12F15" w:rsidR="007177E1" w:rsidRDefault="008C42BA" w:rsidP="00F02E5E">
            <w:pPr>
              <w:spacing w:after="0"/>
              <w:rPr>
                <w:i/>
                <w:sz w:val="20"/>
                <w:szCs w:val="20"/>
              </w:rPr>
            </w:pPr>
            <w:r w:rsidRPr="008C42BA">
              <w:rPr>
                <w:i/>
                <w:sz w:val="20"/>
                <w:szCs w:val="20"/>
              </w:rPr>
              <w:t>(2015-16)</w:t>
            </w:r>
          </w:p>
          <w:p w14:paraId="5D04420A" w14:textId="77777777" w:rsidR="008C42BA" w:rsidRPr="00E25EAA" w:rsidRDefault="008C42BA" w:rsidP="00F02E5E">
            <w:pPr>
              <w:spacing w:after="0"/>
              <w:rPr>
                <w:sz w:val="16"/>
              </w:rPr>
            </w:pPr>
          </w:p>
          <w:p w14:paraId="445B3AE4" w14:textId="77777777" w:rsidR="007177E1" w:rsidRDefault="007177E1" w:rsidP="00F02E5E">
            <w:pPr>
              <w:spacing w:after="0"/>
            </w:pPr>
            <w:r w:rsidRPr="000B71AF">
              <w:t>Hispanic/Latino</w:t>
            </w:r>
          </w:p>
          <w:p w14:paraId="6AC67D9C" w14:textId="7AEF129E" w:rsidR="008C42BA" w:rsidRPr="000B71AF" w:rsidRDefault="008C42BA" w:rsidP="00F02E5E">
            <w:pPr>
              <w:spacing w:after="0"/>
            </w:pPr>
            <w:r w:rsidRPr="008C42BA">
              <w:rPr>
                <w:i/>
                <w:sz w:val="20"/>
                <w:szCs w:val="20"/>
              </w:rPr>
              <w:t>(2015-16)</w:t>
            </w:r>
          </w:p>
        </w:tc>
        <w:tc>
          <w:tcPr>
            <w:tcW w:w="2160" w:type="dxa"/>
          </w:tcPr>
          <w:p w14:paraId="52C20979" w14:textId="77777777" w:rsidR="007177E1" w:rsidRDefault="007177E1" w:rsidP="00F02E5E">
            <w:pPr>
              <w:spacing w:after="0"/>
              <w:jc w:val="center"/>
            </w:pPr>
            <w:r w:rsidRPr="000B71AF">
              <w:t>43.6%</w:t>
            </w:r>
          </w:p>
          <w:p w14:paraId="0E3E0DF0" w14:textId="77777777" w:rsidR="007177E1" w:rsidRPr="00E25EAA" w:rsidRDefault="007177E1" w:rsidP="00F02E5E">
            <w:pPr>
              <w:spacing w:after="0"/>
              <w:jc w:val="center"/>
              <w:rPr>
                <w:sz w:val="16"/>
                <w:szCs w:val="16"/>
              </w:rPr>
            </w:pPr>
          </w:p>
          <w:p w14:paraId="076659FF" w14:textId="77777777" w:rsidR="008C42BA" w:rsidRPr="00E25EAA" w:rsidRDefault="008C42BA" w:rsidP="00F02E5E">
            <w:pPr>
              <w:spacing w:after="0"/>
              <w:jc w:val="center"/>
              <w:rPr>
                <w:sz w:val="16"/>
                <w:szCs w:val="16"/>
              </w:rPr>
            </w:pPr>
          </w:p>
          <w:p w14:paraId="78F24CEE" w14:textId="77777777" w:rsidR="007177E1" w:rsidRDefault="007177E1" w:rsidP="00F02E5E">
            <w:pPr>
              <w:spacing w:after="0"/>
              <w:jc w:val="center"/>
            </w:pPr>
            <w:r w:rsidRPr="000B71AF">
              <w:t>5.5%</w:t>
            </w:r>
          </w:p>
          <w:p w14:paraId="7DA9563F" w14:textId="77777777" w:rsidR="007177E1" w:rsidRPr="00E25EAA" w:rsidRDefault="007177E1" w:rsidP="00F02E5E">
            <w:pPr>
              <w:spacing w:after="0"/>
              <w:jc w:val="center"/>
              <w:rPr>
                <w:sz w:val="16"/>
              </w:rPr>
            </w:pPr>
          </w:p>
          <w:p w14:paraId="7C972F60" w14:textId="77777777" w:rsidR="008C42BA" w:rsidRPr="00E25EAA" w:rsidRDefault="008C42BA" w:rsidP="00F02E5E">
            <w:pPr>
              <w:spacing w:after="0"/>
              <w:jc w:val="center"/>
              <w:rPr>
                <w:sz w:val="16"/>
              </w:rPr>
            </w:pPr>
          </w:p>
          <w:p w14:paraId="027E4ED6" w14:textId="77777777" w:rsidR="007177E1" w:rsidRDefault="007177E1" w:rsidP="00F02E5E">
            <w:pPr>
              <w:spacing w:after="0"/>
              <w:jc w:val="center"/>
            </w:pPr>
            <w:r w:rsidRPr="000B71AF">
              <w:t>3.6%</w:t>
            </w:r>
          </w:p>
          <w:p w14:paraId="6F1DC97E" w14:textId="77777777" w:rsidR="007177E1" w:rsidRDefault="007177E1" w:rsidP="00F02E5E">
            <w:pPr>
              <w:spacing w:after="0"/>
              <w:jc w:val="center"/>
              <w:rPr>
                <w:sz w:val="16"/>
              </w:rPr>
            </w:pPr>
          </w:p>
          <w:p w14:paraId="2FB0BC84" w14:textId="77777777" w:rsidR="00E25EAA" w:rsidRPr="00E25EAA" w:rsidRDefault="00E25EAA" w:rsidP="00F02E5E">
            <w:pPr>
              <w:spacing w:after="0"/>
              <w:jc w:val="center"/>
              <w:rPr>
                <w:sz w:val="16"/>
              </w:rPr>
            </w:pPr>
          </w:p>
          <w:p w14:paraId="2F92937D" w14:textId="42A30B55" w:rsidR="007177E1" w:rsidRPr="000B71AF" w:rsidRDefault="007177E1" w:rsidP="00F02E5E">
            <w:pPr>
              <w:spacing w:after="0"/>
              <w:jc w:val="center"/>
            </w:pPr>
            <w:r w:rsidRPr="000B71AF">
              <w:t>1.8%</w:t>
            </w:r>
          </w:p>
        </w:tc>
        <w:tc>
          <w:tcPr>
            <w:tcW w:w="2160" w:type="dxa"/>
          </w:tcPr>
          <w:p w14:paraId="7DADB70A" w14:textId="6E925D8B" w:rsidR="007177E1" w:rsidRDefault="007177E1" w:rsidP="007177E1">
            <w:pPr>
              <w:spacing w:after="0"/>
              <w:jc w:val="center"/>
            </w:pPr>
            <w:r w:rsidRPr="000B71AF">
              <w:t>48</w:t>
            </w:r>
            <w:r>
              <w:t>.0</w:t>
            </w:r>
            <w:r w:rsidRPr="000B71AF">
              <w:t>%</w:t>
            </w:r>
          </w:p>
          <w:p w14:paraId="125F98BD" w14:textId="77777777" w:rsidR="007177E1" w:rsidRPr="00E25EAA" w:rsidRDefault="007177E1" w:rsidP="00F02E5E">
            <w:pPr>
              <w:spacing w:after="0"/>
              <w:jc w:val="center"/>
              <w:rPr>
                <w:sz w:val="16"/>
                <w:szCs w:val="16"/>
              </w:rPr>
            </w:pPr>
          </w:p>
          <w:p w14:paraId="1ABD5497" w14:textId="77777777" w:rsidR="008C42BA" w:rsidRPr="00E25EAA" w:rsidRDefault="008C42BA" w:rsidP="00E25EAA">
            <w:pPr>
              <w:spacing w:after="0"/>
              <w:jc w:val="center"/>
              <w:rPr>
                <w:sz w:val="16"/>
                <w:szCs w:val="16"/>
              </w:rPr>
            </w:pPr>
          </w:p>
          <w:p w14:paraId="0C53F72B" w14:textId="77777777" w:rsidR="007177E1" w:rsidRDefault="007177E1" w:rsidP="00F02E5E">
            <w:pPr>
              <w:spacing w:after="0"/>
              <w:jc w:val="center"/>
            </w:pPr>
            <w:r w:rsidRPr="000B71AF">
              <w:t>8.0%</w:t>
            </w:r>
          </w:p>
          <w:p w14:paraId="78733571" w14:textId="77777777" w:rsidR="007177E1" w:rsidRPr="00E25EAA" w:rsidRDefault="007177E1" w:rsidP="00F02E5E">
            <w:pPr>
              <w:spacing w:after="0"/>
              <w:jc w:val="center"/>
              <w:rPr>
                <w:sz w:val="16"/>
              </w:rPr>
            </w:pPr>
          </w:p>
          <w:p w14:paraId="6C62D4E2" w14:textId="77777777" w:rsidR="008C42BA" w:rsidRPr="00E25EAA" w:rsidRDefault="008C42BA" w:rsidP="00F02E5E">
            <w:pPr>
              <w:spacing w:after="0"/>
              <w:jc w:val="center"/>
              <w:rPr>
                <w:sz w:val="16"/>
              </w:rPr>
            </w:pPr>
          </w:p>
          <w:p w14:paraId="0C3DDBE8" w14:textId="77777777" w:rsidR="007177E1" w:rsidRDefault="007177E1" w:rsidP="00F02E5E">
            <w:pPr>
              <w:spacing w:after="0"/>
              <w:jc w:val="center"/>
            </w:pPr>
            <w:r w:rsidRPr="000B71AF">
              <w:t>5.0%</w:t>
            </w:r>
          </w:p>
          <w:p w14:paraId="10653231" w14:textId="77777777" w:rsidR="007177E1" w:rsidRDefault="007177E1" w:rsidP="00F02E5E">
            <w:pPr>
              <w:spacing w:after="0"/>
              <w:jc w:val="center"/>
              <w:rPr>
                <w:sz w:val="16"/>
              </w:rPr>
            </w:pPr>
          </w:p>
          <w:p w14:paraId="2A3CDEA9" w14:textId="77777777" w:rsidR="00E25EAA" w:rsidRPr="00E25EAA" w:rsidRDefault="00E25EAA" w:rsidP="00F02E5E">
            <w:pPr>
              <w:spacing w:after="0"/>
              <w:jc w:val="center"/>
              <w:rPr>
                <w:sz w:val="16"/>
              </w:rPr>
            </w:pPr>
          </w:p>
          <w:p w14:paraId="56F84EB2" w14:textId="77777777" w:rsidR="007177E1" w:rsidRDefault="007177E1" w:rsidP="00F02E5E">
            <w:pPr>
              <w:spacing w:after="0"/>
              <w:jc w:val="center"/>
            </w:pPr>
            <w:r w:rsidRPr="000B71AF">
              <w:t>3.0%</w:t>
            </w:r>
          </w:p>
          <w:p w14:paraId="2530EE77" w14:textId="3C29F7FF" w:rsidR="007177E1" w:rsidRPr="000B71AF" w:rsidRDefault="007177E1" w:rsidP="00F02E5E">
            <w:pPr>
              <w:spacing w:after="0"/>
              <w:jc w:val="center"/>
            </w:pPr>
          </w:p>
        </w:tc>
      </w:tr>
      <w:tr w:rsidR="007177E1" w:rsidRPr="000B71AF" w14:paraId="63E1C921" w14:textId="77777777" w:rsidTr="007177E1">
        <w:trPr>
          <w:trHeight w:val="2177"/>
        </w:trPr>
        <w:tc>
          <w:tcPr>
            <w:tcW w:w="2520" w:type="dxa"/>
          </w:tcPr>
          <w:p w14:paraId="3D3CE5FC" w14:textId="77777777" w:rsidR="007177E1" w:rsidRPr="00022E15" w:rsidRDefault="007177E1" w:rsidP="00F02E5E">
            <w:pPr>
              <w:spacing w:after="0"/>
            </w:pPr>
            <w:r w:rsidRPr="00022E15">
              <w:t>Executive, Administrative, Managerial</w:t>
            </w:r>
          </w:p>
        </w:tc>
        <w:tc>
          <w:tcPr>
            <w:tcW w:w="3240" w:type="dxa"/>
          </w:tcPr>
          <w:p w14:paraId="52CB25A5" w14:textId="77777777" w:rsidR="007177E1" w:rsidRDefault="007177E1" w:rsidP="00F02E5E">
            <w:pPr>
              <w:spacing w:after="0"/>
            </w:pPr>
            <w:r w:rsidRPr="000B71AF">
              <w:t>Female</w:t>
            </w:r>
          </w:p>
          <w:p w14:paraId="62F2DF7A" w14:textId="13ADB172" w:rsidR="007177E1" w:rsidRDefault="008C42BA" w:rsidP="00F02E5E">
            <w:pPr>
              <w:spacing w:after="0"/>
              <w:rPr>
                <w:i/>
                <w:sz w:val="20"/>
                <w:szCs w:val="20"/>
              </w:rPr>
            </w:pPr>
            <w:r w:rsidRPr="008C42BA">
              <w:rPr>
                <w:i/>
                <w:sz w:val="20"/>
                <w:szCs w:val="20"/>
              </w:rPr>
              <w:t>(2015-16)</w:t>
            </w:r>
          </w:p>
          <w:p w14:paraId="2CF26399" w14:textId="77777777" w:rsidR="008C42BA" w:rsidRPr="00E25EAA" w:rsidRDefault="008C42BA" w:rsidP="00F02E5E">
            <w:pPr>
              <w:spacing w:after="0"/>
              <w:rPr>
                <w:sz w:val="16"/>
                <w:szCs w:val="20"/>
              </w:rPr>
            </w:pPr>
          </w:p>
          <w:p w14:paraId="7FF51AC8" w14:textId="77777777" w:rsidR="008C42BA" w:rsidRDefault="008C42BA" w:rsidP="008C42BA">
            <w:pPr>
              <w:spacing w:after="0"/>
            </w:pPr>
            <w:r w:rsidRPr="000B71AF">
              <w:t>URM EAM Total</w:t>
            </w:r>
          </w:p>
          <w:p w14:paraId="79116F93" w14:textId="77777777" w:rsidR="008C42BA" w:rsidRDefault="008C42BA" w:rsidP="008C42BA">
            <w:pPr>
              <w:spacing w:after="0"/>
            </w:pPr>
            <w:r w:rsidRPr="008C42BA">
              <w:rPr>
                <w:i/>
                <w:sz w:val="20"/>
                <w:szCs w:val="20"/>
              </w:rPr>
              <w:t>(2015-16)</w:t>
            </w:r>
          </w:p>
          <w:p w14:paraId="097D14EB" w14:textId="77777777" w:rsidR="008C42BA" w:rsidRPr="00E25EAA" w:rsidRDefault="008C42BA" w:rsidP="00F02E5E">
            <w:pPr>
              <w:spacing w:after="0"/>
              <w:rPr>
                <w:sz w:val="16"/>
              </w:rPr>
            </w:pPr>
          </w:p>
          <w:p w14:paraId="56701005" w14:textId="77777777" w:rsidR="007177E1" w:rsidRDefault="007177E1" w:rsidP="00F02E5E">
            <w:pPr>
              <w:spacing w:after="0"/>
            </w:pPr>
            <w:r w:rsidRPr="000B71AF">
              <w:t>African American/Black</w:t>
            </w:r>
          </w:p>
          <w:p w14:paraId="1E983F2F" w14:textId="51BCB04F" w:rsidR="008C42BA" w:rsidRDefault="008C42BA" w:rsidP="00F02E5E">
            <w:pPr>
              <w:spacing w:after="0"/>
            </w:pPr>
            <w:r w:rsidRPr="008C42BA">
              <w:rPr>
                <w:i/>
                <w:sz w:val="20"/>
                <w:szCs w:val="20"/>
              </w:rPr>
              <w:t>(2015-16)</w:t>
            </w:r>
          </w:p>
          <w:p w14:paraId="1A7435DF" w14:textId="77777777" w:rsidR="007177E1" w:rsidRPr="00E25EAA" w:rsidRDefault="007177E1" w:rsidP="00F02E5E">
            <w:pPr>
              <w:spacing w:after="0"/>
              <w:rPr>
                <w:sz w:val="16"/>
                <w:szCs w:val="20"/>
              </w:rPr>
            </w:pPr>
          </w:p>
          <w:p w14:paraId="4EC4B66B" w14:textId="77777777" w:rsidR="007177E1" w:rsidRDefault="007177E1" w:rsidP="007C6B04">
            <w:pPr>
              <w:spacing w:after="0"/>
            </w:pPr>
            <w:r w:rsidRPr="000B71AF">
              <w:t>Hispanic/Latino</w:t>
            </w:r>
          </w:p>
          <w:p w14:paraId="644FD068" w14:textId="6B96FA0A" w:rsidR="008C42BA" w:rsidRPr="000B71AF" w:rsidRDefault="008C42BA" w:rsidP="007C6B04">
            <w:pPr>
              <w:spacing w:after="0"/>
            </w:pPr>
            <w:r w:rsidRPr="008C42BA">
              <w:rPr>
                <w:i/>
                <w:sz w:val="20"/>
                <w:szCs w:val="20"/>
              </w:rPr>
              <w:t>(2015-16)</w:t>
            </w:r>
          </w:p>
        </w:tc>
        <w:tc>
          <w:tcPr>
            <w:tcW w:w="2160" w:type="dxa"/>
          </w:tcPr>
          <w:p w14:paraId="234D9D24" w14:textId="77777777" w:rsidR="00E25EAA" w:rsidRPr="000B71AF" w:rsidRDefault="00E25EAA" w:rsidP="00E25EAA">
            <w:pPr>
              <w:spacing w:after="0"/>
              <w:jc w:val="center"/>
            </w:pPr>
            <w:r w:rsidRPr="000B71AF">
              <w:t>66.7%</w:t>
            </w:r>
          </w:p>
          <w:p w14:paraId="155A89CF" w14:textId="77777777" w:rsidR="00E25EAA" w:rsidRPr="00E25EAA" w:rsidRDefault="00E25EAA" w:rsidP="00F02E5E">
            <w:pPr>
              <w:spacing w:after="0"/>
              <w:jc w:val="center"/>
              <w:rPr>
                <w:sz w:val="16"/>
                <w:szCs w:val="16"/>
              </w:rPr>
            </w:pPr>
          </w:p>
          <w:p w14:paraId="7C36B08A" w14:textId="77777777" w:rsidR="00E25EAA" w:rsidRPr="00E25EAA" w:rsidRDefault="00E25EAA" w:rsidP="00F02E5E">
            <w:pPr>
              <w:spacing w:after="0"/>
              <w:jc w:val="center"/>
              <w:rPr>
                <w:sz w:val="16"/>
                <w:szCs w:val="16"/>
              </w:rPr>
            </w:pPr>
          </w:p>
          <w:p w14:paraId="023F09A9" w14:textId="2ADFFCEE" w:rsidR="007177E1" w:rsidRPr="000B71AF" w:rsidRDefault="007177E1" w:rsidP="00F02E5E">
            <w:pPr>
              <w:spacing w:after="0"/>
              <w:jc w:val="center"/>
            </w:pPr>
            <w:r>
              <w:t>0.0%</w:t>
            </w:r>
          </w:p>
          <w:p w14:paraId="7198A3AE" w14:textId="77777777" w:rsidR="007177E1" w:rsidRPr="00E25EAA" w:rsidRDefault="007177E1" w:rsidP="00F02E5E">
            <w:pPr>
              <w:spacing w:after="0"/>
              <w:jc w:val="center"/>
              <w:rPr>
                <w:sz w:val="20"/>
                <w:szCs w:val="20"/>
              </w:rPr>
            </w:pPr>
          </w:p>
          <w:p w14:paraId="2B3E2FAF" w14:textId="77777777" w:rsidR="00E25EAA" w:rsidRPr="00E25EAA" w:rsidRDefault="00E25EAA" w:rsidP="00F02E5E">
            <w:pPr>
              <w:spacing w:after="0"/>
              <w:jc w:val="center"/>
              <w:rPr>
                <w:sz w:val="20"/>
                <w:szCs w:val="20"/>
              </w:rPr>
            </w:pPr>
          </w:p>
          <w:p w14:paraId="20562394" w14:textId="001B9BC1" w:rsidR="007177E1" w:rsidRPr="000B71AF" w:rsidRDefault="007177E1" w:rsidP="00F02E5E">
            <w:pPr>
              <w:spacing w:after="0"/>
              <w:jc w:val="center"/>
            </w:pPr>
            <w:r w:rsidRPr="000B71AF">
              <w:t>0</w:t>
            </w:r>
            <w:r>
              <w:t>.0%</w:t>
            </w:r>
          </w:p>
          <w:p w14:paraId="20D03FAB" w14:textId="77777777" w:rsidR="007177E1" w:rsidRPr="00E25EAA" w:rsidRDefault="007177E1" w:rsidP="00F02E5E">
            <w:pPr>
              <w:spacing w:after="0"/>
              <w:jc w:val="center"/>
              <w:rPr>
                <w:sz w:val="20"/>
                <w:szCs w:val="20"/>
              </w:rPr>
            </w:pPr>
          </w:p>
          <w:p w14:paraId="2EF4CCBB" w14:textId="77777777" w:rsidR="00E25EAA" w:rsidRPr="00E25EAA" w:rsidRDefault="00E25EAA" w:rsidP="00F02E5E">
            <w:pPr>
              <w:spacing w:after="0"/>
              <w:jc w:val="center"/>
              <w:rPr>
                <w:sz w:val="20"/>
                <w:szCs w:val="20"/>
              </w:rPr>
            </w:pPr>
          </w:p>
          <w:p w14:paraId="3D9F1102" w14:textId="3E32F123" w:rsidR="007177E1" w:rsidRPr="000B71AF" w:rsidRDefault="007177E1" w:rsidP="00F02E5E">
            <w:pPr>
              <w:spacing w:after="0"/>
              <w:jc w:val="center"/>
            </w:pPr>
            <w:r w:rsidRPr="000B71AF">
              <w:t>0</w:t>
            </w:r>
            <w:r>
              <w:t>.0%</w:t>
            </w:r>
          </w:p>
        </w:tc>
        <w:tc>
          <w:tcPr>
            <w:tcW w:w="2160" w:type="dxa"/>
          </w:tcPr>
          <w:p w14:paraId="409453AA" w14:textId="77777777" w:rsidR="00E25EAA" w:rsidRPr="000B71AF" w:rsidRDefault="00E25EAA" w:rsidP="00E25EAA">
            <w:pPr>
              <w:spacing w:after="0"/>
              <w:jc w:val="center"/>
            </w:pPr>
            <w:r w:rsidRPr="000B71AF">
              <w:t>70</w:t>
            </w:r>
            <w:r>
              <w:t>.0</w:t>
            </w:r>
            <w:r w:rsidRPr="000B71AF">
              <w:t>%</w:t>
            </w:r>
          </w:p>
          <w:p w14:paraId="4D659700" w14:textId="77777777" w:rsidR="00E25EAA" w:rsidRPr="00E25EAA" w:rsidRDefault="00E25EAA" w:rsidP="00F02E5E">
            <w:pPr>
              <w:spacing w:after="0"/>
              <w:jc w:val="center"/>
              <w:rPr>
                <w:sz w:val="16"/>
                <w:szCs w:val="16"/>
              </w:rPr>
            </w:pPr>
          </w:p>
          <w:p w14:paraId="591F9258" w14:textId="77777777" w:rsidR="00E25EAA" w:rsidRPr="00E25EAA" w:rsidRDefault="00E25EAA" w:rsidP="00F02E5E">
            <w:pPr>
              <w:spacing w:after="0"/>
              <w:jc w:val="center"/>
              <w:rPr>
                <w:sz w:val="16"/>
                <w:szCs w:val="16"/>
              </w:rPr>
            </w:pPr>
          </w:p>
          <w:p w14:paraId="6E8DF83D" w14:textId="77777777" w:rsidR="007177E1" w:rsidRDefault="007177E1" w:rsidP="00F02E5E">
            <w:pPr>
              <w:spacing w:after="0"/>
              <w:jc w:val="center"/>
            </w:pPr>
            <w:r w:rsidRPr="000B71AF">
              <w:t>8</w:t>
            </w:r>
            <w:r>
              <w:t>.0%</w:t>
            </w:r>
          </w:p>
          <w:p w14:paraId="578471BD" w14:textId="77777777" w:rsidR="007177E1" w:rsidRPr="00E25EAA" w:rsidRDefault="007177E1" w:rsidP="00F02E5E">
            <w:pPr>
              <w:spacing w:after="0"/>
              <w:jc w:val="center"/>
              <w:rPr>
                <w:sz w:val="20"/>
                <w:szCs w:val="20"/>
              </w:rPr>
            </w:pPr>
          </w:p>
          <w:p w14:paraId="0BB80DC4" w14:textId="77777777" w:rsidR="00E25EAA" w:rsidRPr="00E25EAA" w:rsidRDefault="00E25EAA" w:rsidP="00F02E5E">
            <w:pPr>
              <w:spacing w:after="0"/>
              <w:jc w:val="center"/>
              <w:rPr>
                <w:sz w:val="20"/>
                <w:szCs w:val="20"/>
              </w:rPr>
            </w:pPr>
          </w:p>
          <w:p w14:paraId="5F58A130" w14:textId="60FA7B19" w:rsidR="007177E1" w:rsidRDefault="007177E1" w:rsidP="00F02E5E">
            <w:pPr>
              <w:spacing w:after="0"/>
              <w:jc w:val="center"/>
            </w:pPr>
            <w:r w:rsidRPr="000B71AF">
              <w:t>10</w:t>
            </w:r>
            <w:r>
              <w:t>.0</w:t>
            </w:r>
            <w:r w:rsidRPr="000B71AF">
              <w:t>%</w:t>
            </w:r>
          </w:p>
          <w:p w14:paraId="4F746E91" w14:textId="77777777" w:rsidR="007177E1" w:rsidRPr="00E25EAA" w:rsidRDefault="007177E1" w:rsidP="00F02E5E">
            <w:pPr>
              <w:spacing w:after="0"/>
              <w:jc w:val="center"/>
              <w:rPr>
                <w:sz w:val="20"/>
                <w:szCs w:val="20"/>
              </w:rPr>
            </w:pPr>
          </w:p>
          <w:p w14:paraId="005EE214" w14:textId="77777777" w:rsidR="00E25EAA" w:rsidRPr="00E25EAA" w:rsidRDefault="00E25EAA" w:rsidP="00F02E5E">
            <w:pPr>
              <w:spacing w:after="0"/>
              <w:jc w:val="center"/>
              <w:rPr>
                <w:sz w:val="20"/>
                <w:szCs w:val="20"/>
              </w:rPr>
            </w:pPr>
          </w:p>
          <w:p w14:paraId="1A5C597D" w14:textId="04516A9E" w:rsidR="007177E1" w:rsidRPr="000B71AF" w:rsidRDefault="007177E1" w:rsidP="00F02E5E">
            <w:pPr>
              <w:spacing w:after="0"/>
              <w:jc w:val="center"/>
            </w:pPr>
            <w:r w:rsidRPr="000B71AF">
              <w:t>10</w:t>
            </w:r>
            <w:r>
              <w:t>.0</w:t>
            </w:r>
            <w:r w:rsidRPr="000B71AF">
              <w:t>%</w:t>
            </w:r>
          </w:p>
        </w:tc>
      </w:tr>
      <w:tr w:rsidR="007177E1" w:rsidRPr="000B71AF" w14:paraId="681C943F" w14:textId="77777777" w:rsidTr="007177E1">
        <w:trPr>
          <w:trHeight w:val="2245"/>
        </w:trPr>
        <w:tc>
          <w:tcPr>
            <w:tcW w:w="2520" w:type="dxa"/>
          </w:tcPr>
          <w:p w14:paraId="57B6F310" w14:textId="0F0C40B2" w:rsidR="007177E1" w:rsidRPr="00022E15" w:rsidRDefault="007177E1" w:rsidP="00F02E5E">
            <w:pPr>
              <w:spacing w:after="0"/>
            </w:pPr>
            <w:r w:rsidRPr="00022E15">
              <w:lastRenderedPageBreak/>
              <w:t>Professional</w:t>
            </w:r>
          </w:p>
        </w:tc>
        <w:tc>
          <w:tcPr>
            <w:tcW w:w="3240" w:type="dxa"/>
          </w:tcPr>
          <w:p w14:paraId="26F917F2" w14:textId="77777777" w:rsidR="007177E1" w:rsidRDefault="007177E1" w:rsidP="00F02E5E">
            <w:pPr>
              <w:spacing w:after="0"/>
            </w:pPr>
            <w:r w:rsidRPr="000B71AF">
              <w:t>URM EAM Total</w:t>
            </w:r>
          </w:p>
          <w:p w14:paraId="6DAD6F4D" w14:textId="3193DCF4" w:rsidR="00E25EAA" w:rsidRDefault="00E25EAA" w:rsidP="00F02E5E">
            <w:pPr>
              <w:spacing w:after="0"/>
            </w:pPr>
            <w:r w:rsidRPr="008C42BA">
              <w:rPr>
                <w:i/>
                <w:sz w:val="20"/>
                <w:szCs w:val="20"/>
              </w:rPr>
              <w:t>(2015-16)</w:t>
            </w:r>
          </w:p>
          <w:p w14:paraId="60F4F8F9" w14:textId="77777777" w:rsidR="007177E1" w:rsidRPr="000B71AF" w:rsidRDefault="007177E1" w:rsidP="00F02E5E">
            <w:pPr>
              <w:spacing w:after="0"/>
            </w:pPr>
          </w:p>
          <w:p w14:paraId="3D187169" w14:textId="77777777" w:rsidR="007177E1" w:rsidRDefault="007177E1" w:rsidP="00F02E5E">
            <w:pPr>
              <w:spacing w:after="0"/>
            </w:pPr>
            <w:r w:rsidRPr="000B71AF">
              <w:t>African American/Black</w:t>
            </w:r>
          </w:p>
          <w:p w14:paraId="310048E4" w14:textId="10903969" w:rsidR="007177E1" w:rsidRDefault="00E25EAA" w:rsidP="00F02E5E">
            <w:pPr>
              <w:spacing w:after="0"/>
              <w:rPr>
                <w:i/>
                <w:sz w:val="20"/>
                <w:szCs w:val="20"/>
              </w:rPr>
            </w:pPr>
            <w:r w:rsidRPr="008C42BA">
              <w:rPr>
                <w:i/>
                <w:sz w:val="20"/>
                <w:szCs w:val="20"/>
              </w:rPr>
              <w:t>(2015-16)</w:t>
            </w:r>
          </w:p>
          <w:p w14:paraId="07F7308A" w14:textId="77777777" w:rsidR="00E25EAA" w:rsidRPr="000B71AF" w:rsidRDefault="00E25EAA" w:rsidP="00F02E5E">
            <w:pPr>
              <w:spacing w:after="0"/>
            </w:pPr>
          </w:p>
          <w:p w14:paraId="21D71EF4" w14:textId="77777777" w:rsidR="007177E1" w:rsidRDefault="007177E1" w:rsidP="00F02E5E">
            <w:pPr>
              <w:spacing w:after="0"/>
            </w:pPr>
            <w:r w:rsidRPr="000B71AF">
              <w:t>Hispanic/Latino</w:t>
            </w:r>
          </w:p>
          <w:p w14:paraId="2097860E" w14:textId="310DC4DF" w:rsidR="007177E1" w:rsidRPr="000B71AF" w:rsidRDefault="00E25EAA" w:rsidP="00F02E5E">
            <w:pPr>
              <w:spacing w:after="0"/>
            </w:pPr>
            <w:r w:rsidRPr="008C42BA">
              <w:rPr>
                <w:i/>
                <w:sz w:val="20"/>
                <w:szCs w:val="20"/>
              </w:rPr>
              <w:t>(2015-16)</w:t>
            </w:r>
          </w:p>
        </w:tc>
        <w:tc>
          <w:tcPr>
            <w:tcW w:w="2160" w:type="dxa"/>
          </w:tcPr>
          <w:p w14:paraId="2D21609D" w14:textId="3BEEEC76" w:rsidR="007177E1" w:rsidRPr="000B71AF" w:rsidRDefault="007177E1" w:rsidP="00F02E5E">
            <w:pPr>
              <w:spacing w:after="0"/>
              <w:jc w:val="center"/>
            </w:pPr>
            <w:r>
              <w:t>10.0%</w:t>
            </w:r>
          </w:p>
          <w:p w14:paraId="378F770A" w14:textId="77777777" w:rsidR="007177E1" w:rsidRPr="00E25EAA" w:rsidRDefault="007177E1" w:rsidP="00F02E5E">
            <w:pPr>
              <w:spacing w:after="0"/>
              <w:jc w:val="center"/>
              <w:rPr>
                <w:sz w:val="20"/>
                <w:szCs w:val="20"/>
              </w:rPr>
            </w:pPr>
          </w:p>
          <w:p w14:paraId="78467553" w14:textId="77777777" w:rsidR="00E25EAA" w:rsidRPr="00E25EAA" w:rsidRDefault="00E25EAA" w:rsidP="00F02E5E">
            <w:pPr>
              <w:spacing w:after="0"/>
              <w:jc w:val="center"/>
              <w:rPr>
                <w:sz w:val="20"/>
                <w:szCs w:val="20"/>
              </w:rPr>
            </w:pPr>
          </w:p>
          <w:p w14:paraId="10F04098" w14:textId="54502354" w:rsidR="007177E1" w:rsidRPr="000B71AF" w:rsidRDefault="007177E1" w:rsidP="00F02E5E">
            <w:pPr>
              <w:spacing w:after="0"/>
              <w:jc w:val="center"/>
            </w:pPr>
            <w:r>
              <w:t>6.7%</w:t>
            </w:r>
          </w:p>
          <w:p w14:paraId="636477F7" w14:textId="77777777" w:rsidR="007177E1" w:rsidRPr="00E25EAA" w:rsidRDefault="007177E1" w:rsidP="00F02E5E">
            <w:pPr>
              <w:spacing w:after="0"/>
              <w:jc w:val="center"/>
              <w:rPr>
                <w:sz w:val="20"/>
                <w:szCs w:val="20"/>
              </w:rPr>
            </w:pPr>
          </w:p>
          <w:p w14:paraId="420FFAF2" w14:textId="77777777" w:rsidR="00E25EAA" w:rsidRPr="00E25EAA" w:rsidRDefault="00E25EAA" w:rsidP="00F02E5E">
            <w:pPr>
              <w:spacing w:after="0"/>
              <w:jc w:val="center"/>
              <w:rPr>
                <w:sz w:val="20"/>
                <w:szCs w:val="20"/>
              </w:rPr>
            </w:pPr>
          </w:p>
          <w:p w14:paraId="0F97D351" w14:textId="06801856" w:rsidR="007177E1" w:rsidRPr="000B71AF" w:rsidRDefault="007177E1" w:rsidP="00DB13AA">
            <w:pPr>
              <w:spacing w:after="0"/>
              <w:jc w:val="center"/>
            </w:pPr>
            <w:r>
              <w:t>3.3%</w:t>
            </w:r>
          </w:p>
        </w:tc>
        <w:tc>
          <w:tcPr>
            <w:tcW w:w="2160" w:type="dxa"/>
          </w:tcPr>
          <w:p w14:paraId="020D0F0F" w14:textId="26143C8A" w:rsidR="007177E1" w:rsidRPr="000B71AF" w:rsidRDefault="007177E1" w:rsidP="00F02E5E">
            <w:pPr>
              <w:spacing w:after="0"/>
              <w:jc w:val="center"/>
            </w:pPr>
            <w:r w:rsidRPr="000B71AF">
              <w:t>15</w:t>
            </w:r>
            <w:r>
              <w:t>.0</w:t>
            </w:r>
            <w:r w:rsidRPr="000B71AF">
              <w:t>%</w:t>
            </w:r>
          </w:p>
          <w:p w14:paraId="4941E5D2" w14:textId="77777777" w:rsidR="007177E1" w:rsidRPr="00E25EAA" w:rsidRDefault="007177E1" w:rsidP="00F02E5E">
            <w:pPr>
              <w:spacing w:after="0"/>
              <w:jc w:val="center"/>
              <w:rPr>
                <w:sz w:val="20"/>
                <w:szCs w:val="20"/>
              </w:rPr>
            </w:pPr>
          </w:p>
          <w:p w14:paraId="7A1AF140" w14:textId="77777777" w:rsidR="00E25EAA" w:rsidRPr="00E25EAA" w:rsidRDefault="00E25EAA" w:rsidP="00F02E5E">
            <w:pPr>
              <w:spacing w:after="0"/>
              <w:jc w:val="center"/>
              <w:rPr>
                <w:sz w:val="20"/>
                <w:szCs w:val="20"/>
              </w:rPr>
            </w:pPr>
          </w:p>
          <w:p w14:paraId="4A076699" w14:textId="0CA80D55" w:rsidR="007177E1" w:rsidRPr="000B71AF" w:rsidRDefault="007177E1" w:rsidP="00F02E5E">
            <w:pPr>
              <w:spacing w:after="0"/>
              <w:jc w:val="center"/>
            </w:pPr>
            <w:r w:rsidRPr="000B71AF">
              <w:t>8</w:t>
            </w:r>
            <w:r>
              <w:t>.0</w:t>
            </w:r>
            <w:r w:rsidRPr="000B71AF">
              <w:t>%</w:t>
            </w:r>
          </w:p>
          <w:p w14:paraId="001A9437" w14:textId="77777777" w:rsidR="007177E1" w:rsidRPr="00E25EAA" w:rsidRDefault="007177E1" w:rsidP="00F02E5E">
            <w:pPr>
              <w:spacing w:after="0"/>
              <w:jc w:val="center"/>
              <w:rPr>
                <w:sz w:val="20"/>
                <w:szCs w:val="20"/>
              </w:rPr>
            </w:pPr>
          </w:p>
          <w:p w14:paraId="76A60E32" w14:textId="77777777" w:rsidR="00E25EAA" w:rsidRPr="00E25EAA" w:rsidRDefault="00E25EAA" w:rsidP="00F02E5E">
            <w:pPr>
              <w:spacing w:after="0"/>
              <w:jc w:val="center"/>
              <w:rPr>
                <w:sz w:val="20"/>
                <w:szCs w:val="20"/>
              </w:rPr>
            </w:pPr>
          </w:p>
          <w:p w14:paraId="4E9292F5" w14:textId="7C7AC36C" w:rsidR="007177E1" w:rsidRPr="000B71AF" w:rsidRDefault="007177E1" w:rsidP="00F02E5E">
            <w:pPr>
              <w:spacing w:after="0"/>
              <w:jc w:val="center"/>
            </w:pPr>
            <w:r w:rsidRPr="000B71AF">
              <w:t>7</w:t>
            </w:r>
            <w:r>
              <w:t>.0</w:t>
            </w:r>
            <w:r w:rsidRPr="000B71AF">
              <w:t>%</w:t>
            </w:r>
          </w:p>
        </w:tc>
      </w:tr>
    </w:tbl>
    <w:p w14:paraId="247B808E" w14:textId="6A4EC4B3" w:rsidR="00DB13AA" w:rsidRPr="00A66BCB" w:rsidRDefault="00EF11DD" w:rsidP="00DB13AA">
      <w:pPr>
        <w:spacing w:after="60"/>
        <w:rPr>
          <w:color w:val="000000" w:themeColor="text1"/>
          <w:sz w:val="20"/>
        </w:rPr>
      </w:pPr>
      <w:r w:rsidRPr="00A66BCB">
        <w:rPr>
          <w:color w:val="000000" w:themeColor="text1"/>
          <w:sz w:val="20"/>
          <w:vertAlign w:val="superscript"/>
        </w:rPr>
        <w:t>1</w:t>
      </w:r>
      <w:r w:rsidR="00DB13AA" w:rsidRPr="00A66BCB">
        <w:rPr>
          <w:color w:val="000000" w:themeColor="text1"/>
          <w:sz w:val="20"/>
        </w:rPr>
        <w:t xml:space="preserve"> </w:t>
      </w:r>
      <w:r w:rsidR="00E07DEE" w:rsidRPr="00FD41FA">
        <w:rPr>
          <w:i/>
          <w:color w:val="000000" w:themeColor="text1"/>
          <w:sz w:val="20"/>
        </w:rPr>
        <w:t>Underrepresented Students</w:t>
      </w:r>
      <w:r w:rsidR="00E07DEE">
        <w:rPr>
          <w:color w:val="000000" w:themeColor="text1"/>
          <w:sz w:val="20"/>
        </w:rPr>
        <w:t xml:space="preserve"> includes the following race/ethnicity categories: American Indian/Alaskan Native; Black, non-Hispanic; Hispanic. </w:t>
      </w:r>
      <w:r w:rsidR="007C6B04" w:rsidRPr="00FD41FA">
        <w:rPr>
          <w:i/>
          <w:color w:val="000000" w:themeColor="text1"/>
          <w:sz w:val="20"/>
        </w:rPr>
        <w:t>Underrepresented minorities (URM)</w:t>
      </w:r>
      <w:r w:rsidR="007C6B04" w:rsidRPr="00A66BCB">
        <w:rPr>
          <w:color w:val="000000" w:themeColor="text1"/>
          <w:sz w:val="20"/>
        </w:rPr>
        <w:t xml:space="preserve"> as defined by the Kentucky Council on Postsecondary Education (CPE) includes the following race/ethnicity categories: American Indian or Alaskan Native, Black or African American, Hispanic, Multi-racial/Two or more races, Native Hawaiian or other Pacific Islander.  </w:t>
      </w:r>
    </w:p>
    <w:p w14:paraId="27DA47EE" w14:textId="5D11B951" w:rsidR="00D45056" w:rsidRPr="00A66BCB" w:rsidRDefault="00EF11DD" w:rsidP="00DB13AA">
      <w:pPr>
        <w:spacing w:after="60"/>
        <w:rPr>
          <w:sz w:val="20"/>
        </w:rPr>
      </w:pPr>
      <w:r w:rsidRPr="00A66BCB">
        <w:rPr>
          <w:sz w:val="20"/>
          <w:vertAlign w:val="superscript"/>
        </w:rPr>
        <w:t>2</w:t>
      </w:r>
      <w:r w:rsidR="00DB13AA" w:rsidRPr="00A66BCB">
        <w:rPr>
          <w:sz w:val="20"/>
        </w:rPr>
        <w:t xml:space="preserve"> </w:t>
      </w:r>
      <w:r w:rsidR="00D45056" w:rsidRPr="00A66BCB">
        <w:rPr>
          <w:sz w:val="20"/>
        </w:rPr>
        <w:t>First-time, full-time freshman</w:t>
      </w:r>
    </w:p>
    <w:p w14:paraId="7C065032" w14:textId="77777777" w:rsidR="00D45056" w:rsidRPr="00DB13AA" w:rsidRDefault="00D45056" w:rsidP="00D45056"/>
    <w:p w14:paraId="344557E8" w14:textId="634A3213" w:rsidR="00A56100" w:rsidRPr="000B71AF" w:rsidRDefault="00A56100">
      <w:pPr>
        <w:rPr>
          <w:rFonts w:cs="Georgia"/>
          <w:b/>
          <w:bCs/>
          <w:color w:val="000000"/>
        </w:rPr>
      </w:pPr>
      <w:r w:rsidRPr="000B71AF">
        <w:rPr>
          <w:rFonts w:cs="Georgia"/>
          <w:b/>
          <w:bCs/>
          <w:color w:val="000000"/>
        </w:rPr>
        <w:br w:type="page"/>
      </w:r>
    </w:p>
    <w:p w14:paraId="39395552" w14:textId="4B173FDD" w:rsidR="00A56100" w:rsidRPr="008F601C" w:rsidRDefault="00A56100" w:rsidP="0005344A">
      <w:pPr>
        <w:pStyle w:val="Heading1"/>
        <w:spacing w:after="0"/>
      </w:pPr>
      <w:r w:rsidRPr="008F601C">
        <w:lastRenderedPageBreak/>
        <w:t xml:space="preserve">STRATEGIC OBJECTIVE: </w:t>
      </w:r>
    </w:p>
    <w:p w14:paraId="306FF817" w14:textId="2A9577ED" w:rsidR="00A56100" w:rsidRPr="000B71AF" w:rsidRDefault="00A56100" w:rsidP="0005344A">
      <w:pPr>
        <w:pStyle w:val="Heading1"/>
        <w:numPr>
          <w:ilvl w:val="0"/>
          <w:numId w:val="0"/>
        </w:numPr>
      </w:pPr>
      <w:r w:rsidRPr="000B71AF">
        <w:t>RESEARCH AND SCHOLARSHIP</w:t>
      </w:r>
    </w:p>
    <w:p w14:paraId="735524BB" w14:textId="77777777" w:rsidR="0003434B" w:rsidRPr="0025736B" w:rsidRDefault="0003434B" w:rsidP="0003434B">
      <w:pPr>
        <w:pStyle w:val="Subheading"/>
        <w:rPr>
          <w:rFonts w:ascii="Georgia" w:hAnsi="Georgia" w:cs="Times New Roman"/>
          <w:b w:val="0"/>
          <w:color w:val="auto"/>
          <w:sz w:val="24"/>
          <w:szCs w:val="24"/>
        </w:rPr>
      </w:pPr>
      <w:r w:rsidRPr="0025736B">
        <w:rPr>
          <w:rFonts w:ascii="Georgia" w:hAnsi="Georgia" w:cs="Times New Roman"/>
          <w:color w:val="auto"/>
          <w:sz w:val="24"/>
          <w:szCs w:val="24"/>
        </w:rPr>
        <w:t xml:space="preserve">Expand our scholarship, creative endeavors, and research across our full range of disciplines to focus on the most important health-related challenges of the Commonwealth, our nation, and the world. </w:t>
      </w:r>
      <w:r w:rsidRPr="0025736B">
        <w:rPr>
          <w:rFonts w:ascii="Georgia" w:hAnsi="Georgia" w:cs="Times New Roman"/>
          <w:sz w:val="24"/>
          <w:szCs w:val="24"/>
        </w:rPr>
        <w:t xml:space="preserve"> </w:t>
      </w:r>
    </w:p>
    <w:p w14:paraId="246F00AA" w14:textId="77777777" w:rsidR="0003434B" w:rsidRPr="0025736B" w:rsidRDefault="0003434B" w:rsidP="0003434B">
      <w:pPr>
        <w:pStyle w:val="Subheading"/>
        <w:rPr>
          <w:rFonts w:ascii="Georgia" w:hAnsi="Georgia" w:cs="Times New Roman"/>
          <w:b w:val="0"/>
          <w:color w:val="auto"/>
          <w:sz w:val="24"/>
          <w:szCs w:val="24"/>
        </w:rPr>
      </w:pPr>
    </w:p>
    <w:p w14:paraId="51792E6F" w14:textId="55626857" w:rsidR="0003434B" w:rsidRPr="00E34CF2" w:rsidRDefault="0003434B" w:rsidP="0003434B">
      <w:pPr>
        <w:pStyle w:val="Default"/>
        <w:rPr>
          <w:rFonts w:ascii="Georgia" w:hAnsi="Georgia" w:cs="Times New Roman"/>
          <w:color w:val="auto"/>
        </w:rPr>
      </w:pPr>
      <w:r w:rsidRPr="0025736B">
        <w:rPr>
          <w:rFonts w:ascii="Georgia" w:hAnsi="Georgia" w:cs="Times New Roman"/>
        </w:rPr>
        <w:t>CHS</w:t>
      </w:r>
      <w:r w:rsidRPr="0025736B">
        <w:rPr>
          <w:rFonts w:ascii="Georgia" w:hAnsi="Georgia" w:cs="Times New Roman"/>
          <w:color w:val="auto"/>
        </w:rPr>
        <w:t xml:space="preserve"> is committed to cultivating an environment that embraces the need for extramural support and strategic investment to continue addressing challenges and disparities negatively impacting health and quality of life.</w:t>
      </w:r>
      <w:r w:rsidR="00E34CF2">
        <w:rPr>
          <w:rFonts w:ascii="Georgia" w:hAnsi="Georgia" w:cs="Times New Roman"/>
          <w:color w:val="auto"/>
        </w:rPr>
        <w:t xml:space="preserve"> </w:t>
      </w:r>
    </w:p>
    <w:p w14:paraId="30F72667" w14:textId="77777777" w:rsidR="0003434B" w:rsidRPr="00E34CF2" w:rsidRDefault="0003434B" w:rsidP="0003434B">
      <w:pPr>
        <w:pStyle w:val="Subheading"/>
        <w:rPr>
          <w:rFonts w:ascii="Georgia" w:hAnsi="Georgia" w:cs="Times New Roman"/>
          <w:color w:val="auto"/>
          <w:sz w:val="24"/>
          <w:szCs w:val="24"/>
        </w:rPr>
      </w:pPr>
    </w:p>
    <w:p w14:paraId="1488FB3D" w14:textId="77777777" w:rsidR="0003434B" w:rsidRPr="00E34CF2" w:rsidRDefault="0003434B" w:rsidP="0003434B">
      <w:pPr>
        <w:pStyle w:val="Subheading"/>
        <w:rPr>
          <w:rFonts w:ascii="Georgia" w:hAnsi="Georgia" w:cs="Times New Roman"/>
          <w:color w:val="auto"/>
          <w:sz w:val="32"/>
          <w:szCs w:val="32"/>
          <w:u w:val="single"/>
        </w:rPr>
      </w:pPr>
      <w:r w:rsidRPr="00E34CF2">
        <w:rPr>
          <w:rFonts w:ascii="Georgia" w:hAnsi="Georgia" w:cs="Times New Roman"/>
          <w:color w:val="auto"/>
          <w:u w:val="single"/>
        </w:rPr>
        <w:t>St</w:t>
      </w:r>
      <w:r w:rsidRPr="00E34CF2">
        <w:rPr>
          <w:rFonts w:ascii="Georgia" w:hAnsi="Georgia" w:cs="Times New Roman"/>
          <w:color w:val="auto"/>
          <w:sz w:val="32"/>
          <w:szCs w:val="32"/>
          <w:u w:val="single"/>
        </w:rPr>
        <w:t xml:space="preserve">rategic Initiatives and Action Steps </w:t>
      </w:r>
    </w:p>
    <w:p w14:paraId="661B0104" w14:textId="77777777" w:rsidR="0003434B" w:rsidRPr="00E34CF2" w:rsidRDefault="0003434B" w:rsidP="0003434B">
      <w:pPr>
        <w:pStyle w:val="Subheading"/>
        <w:rPr>
          <w:rFonts w:ascii="Georgia" w:hAnsi="Georgia" w:cs="Times New Roman"/>
          <w:color w:val="auto"/>
          <w:sz w:val="24"/>
          <w:szCs w:val="24"/>
        </w:rPr>
      </w:pPr>
    </w:p>
    <w:p w14:paraId="3502D696" w14:textId="77777777" w:rsidR="0003434B" w:rsidRPr="0025736B" w:rsidRDefault="0003434B" w:rsidP="0003434B">
      <w:pPr>
        <w:pStyle w:val="Subheading"/>
        <w:rPr>
          <w:rFonts w:ascii="Georgia" w:hAnsi="Georgia" w:cs="Times New Roman"/>
          <w:i/>
          <w:color w:val="000000"/>
          <w:sz w:val="24"/>
          <w:szCs w:val="24"/>
        </w:rPr>
      </w:pPr>
      <w:r w:rsidRPr="00E34CF2">
        <w:rPr>
          <w:rFonts w:ascii="Georgia" w:hAnsi="Georgia" w:cs="Times New Roman"/>
          <w:i/>
          <w:color w:val="auto"/>
          <w:sz w:val="24"/>
          <w:szCs w:val="24"/>
        </w:rPr>
        <w:t xml:space="preserve">Strategic Initiative 1: Strengthen communication of CHS Research Office services and efforts to increase success in obtaining and tracking </w:t>
      </w:r>
      <w:r w:rsidRPr="0025736B">
        <w:rPr>
          <w:rFonts w:ascii="Georgia" w:hAnsi="Georgia" w:cs="Times New Roman"/>
          <w:i/>
          <w:color w:val="000000"/>
          <w:sz w:val="24"/>
          <w:szCs w:val="24"/>
        </w:rPr>
        <w:t>extramural funding.</w:t>
      </w:r>
    </w:p>
    <w:p w14:paraId="1D651F02" w14:textId="19753887" w:rsidR="000A2256" w:rsidRDefault="000A2256" w:rsidP="00D37930">
      <w:pPr>
        <w:pStyle w:val="ListParagraph"/>
      </w:pPr>
      <w:r>
        <w:rPr>
          <w:u w:val="single"/>
        </w:rPr>
        <w:t>Action Step 1</w:t>
      </w:r>
      <w:r w:rsidRPr="000A2256">
        <w:rPr>
          <w:u w:val="single"/>
        </w:rPr>
        <w:t>:</w:t>
      </w:r>
      <w:r>
        <w:rPr>
          <w:u w:val="single"/>
        </w:rPr>
        <w:t xml:space="preserve"> </w:t>
      </w:r>
      <w:r w:rsidR="0003434B" w:rsidRPr="000A2256">
        <w:t>Continue to publish an electronic bi-weekly funding and training opportunities newsletter with discipline-specific announcements, with the goal of expanding and diversifying the research funding portfolio.</w:t>
      </w:r>
    </w:p>
    <w:p w14:paraId="1FBE46CA" w14:textId="77777777" w:rsidR="000A2256" w:rsidRDefault="0003434B" w:rsidP="00D37930">
      <w:pPr>
        <w:pStyle w:val="ListParagraph"/>
        <w:spacing w:after="100" w:afterAutospacing="1"/>
      </w:pPr>
      <w:r w:rsidRPr="000A2256">
        <w:rPr>
          <w:u w:val="single"/>
        </w:rPr>
        <w:t>Action Step 2:</w:t>
      </w:r>
      <w:r w:rsidRPr="000A2256">
        <w:t xml:space="preserve">  Integrate more ful</w:t>
      </w:r>
      <w:r w:rsidR="00D877D8" w:rsidRPr="000A2256">
        <w:t xml:space="preserve">ly the services and resources </w:t>
      </w:r>
      <w:r w:rsidRPr="000A2256">
        <w:t xml:space="preserve">of the UK Proposal Development Office, including PIVOT, personalized research opportunity announcements, workshops, and collaborator matches. </w:t>
      </w:r>
    </w:p>
    <w:p w14:paraId="4737AB27" w14:textId="77777777" w:rsidR="000A2256" w:rsidRDefault="0003434B" w:rsidP="00D37930">
      <w:pPr>
        <w:pStyle w:val="ListParagraph"/>
        <w:spacing w:after="100" w:afterAutospacing="1"/>
      </w:pPr>
      <w:r w:rsidRPr="000A2256">
        <w:rPr>
          <w:u w:val="single"/>
        </w:rPr>
        <w:t>Action Step 3:</w:t>
      </w:r>
      <w:r w:rsidRPr="000A2256">
        <w:t xml:space="preserve">  Continue to provide outstanding pre- and post-award activities, promoting a collaborative climate that is inclusive across the college.</w:t>
      </w:r>
    </w:p>
    <w:p w14:paraId="4FA447CF" w14:textId="77777777" w:rsidR="000A2256" w:rsidRDefault="0003434B" w:rsidP="00D37930">
      <w:pPr>
        <w:pStyle w:val="ListParagraph"/>
        <w:spacing w:after="100" w:afterAutospacing="1"/>
      </w:pPr>
      <w:r w:rsidRPr="000A2256">
        <w:rPr>
          <w:u w:val="single"/>
        </w:rPr>
        <w:t>Action Step 4:</w:t>
      </w:r>
      <w:r w:rsidRPr="000A2256">
        <w:t xml:space="preserve">  Integrate </w:t>
      </w:r>
      <w:r w:rsidR="00A351D6" w:rsidRPr="000A2256">
        <w:t>collaborative expertise of high-</w:t>
      </w:r>
      <w:r w:rsidRPr="000A2256">
        <w:t xml:space="preserve">level professionals including, but not limited to statisticians, epidemiologists, </w:t>
      </w:r>
      <w:r w:rsidR="009934C0" w:rsidRPr="000A2256">
        <w:t>and bioengineers</w:t>
      </w:r>
      <w:r w:rsidRPr="000A2256">
        <w:t xml:space="preserve">. </w:t>
      </w:r>
    </w:p>
    <w:p w14:paraId="7EAA4664" w14:textId="7E174FDA" w:rsidR="0003434B" w:rsidRPr="000A2256" w:rsidRDefault="0003434B" w:rsidP="00D37930">
      <w:pPr>
        <w:pStyle w:val="ListParagraph"/>
        <w:spacing w:after="100" w:afterAutospacing="1"/>
      </w:pPr>
      <w:r w:rsidRPr="000A2256">
        <w:rPr>
          <w:u w:val="single"/>
        </w:rPr>
        <w:t>Action Step 5:</w:t>
      </w:r>
      <w:r w:rsidRPr="000A2256">
        <w:t xml:space="preserve">  Develop an Access grant proposal database to increase efficiency and quality of grant reporting, including principal investigators, co-investigators, collaborating UK colleges/departments</w:t>
      </w:r>
      <w:r w:rsidR="00014D5C">
        <w:t>,</w:t>
      </w:r>
      <w:r w:rsidRPr="000A2256">
        <w:t xml:space="preserve"> and external institutions to align college grant reporting with Vice-President of Research institutional reporting.</w:t>
      </w:r>
    </w:p>
    <w:p w14:paraId="655B5805" w14:textId="77777777" w:rsidR="0003434B" w:rsidRPr="0025736B" w:rsidRDefault="0003434B" w:rsidP="0003434B">
      <w:pPr>
        <w:pStyle w:val="Subheading"/>
        <w:rPr>
          <w:rFonts w:ascii="Georgia" w:hAnsi="Georgia" w:cs="Times New Roman"/>
          <w:i/>
          <w:color w:val="auto"/>
          <w:sz w:val="24"/>
          <w:szCs w:val="24"/>
        </w:rPr>
      </w:pPr>
      <w:r w:rsidRPr="0025736B">
        <w:rPr>
          <w:rFonts w:ascii="Georgia" w:hAnsi="Georgia" w:cs="Times New Roman"/>
          <w:i/>
          <w:color w:val="auto"/>
          <w:sz w:val="24"/>
          <w:szCs w:val="24"/>
        </w:rPr>
        <w:t xml:space="preserve">Strategic Initiative 2:  Develop new strategies for promoting CHS research stature across campus and the nation. </w:t>
      </w:r>
    </w:p>
    <w:p w14:paraId="66E62366" w14:textId="77777777" w:rsidR="000A2256" w:rsidRDefault="0003434B" w:rsidP="00D37930">
      <w:pPr>
        <w:pStyle w:val="ListParagraph"/>
      </w:pPr>
      <w:r w:rsidRPr="000A2256">
        <w:rPr>
          <w:u w:val="single"/>
        </w:rPr>
        <w:t xml:space="preserve">Action Step 1: </w:t>
      </w:r>
      <w:r w:rsidRPr="000A2256">
        <w:t xml:space="preserve"> Integrate efforts of the diverse research groups/centers/institutes in the college to increase efficiency, promote innovation</w:t>
      </w:r>
      <w:r w:rsidR="006B6F56" w:rsidRPr="000A2256">
        <w:t>, and project an overall identit</w:t>
      </w:r>
      <w:r w:rsidRPr="000A2256">
        <w:t>y of CHS research.</w:t>
      </w:r>
    </w:p>
    <w:p w14:paraId="75D6B06E" w14:textId="77777777" w:rsidR="000A2256" w:rsidRDefault="0003434B" w:rsidP="0003434B">
      <w:pPr>
        <w:pStyle w:val="ListParagraph"/>
      </w:pPr>
      <w:r w:rsidRPr="000A2256">
        <w:rPr>
          <w:u w:val="single"/>
        </w:rPr>
        <w:t>Action Step 2:</w:t>
      </w:r>
      <w:r w:rsidRPr="000A2256">
        <w:t xml:space="preserve">  Maintain and upgrade equipment</w:t>
      </w:r>
      <w:r w:rsidR="00844DFD" w:rsidRPr="000A2256">
        <w:t xml:space="preserve"> and research facilities</w:t>
      </w:r>
      <w:r w:rsidRPr="000A2256">
        <w:t>.</w:t>
      </w:r>
    </w:p>
    <w:p w14:paraId="0EDDFB1E" w14:textId="7997C7A7" w:rsidR="000A2256" w:rsidRDefault="0003434B" w:rsidP="00D37930">
      <w:pPr>
        <w:pStyle w:val="ListParagraph"/>
      </w:pPr>
      <w:r w:rsidRPr="000A2256">
        <w:rPr>
          <w:u w:val="single"/>
        </w:rPr>
        <w:t xml:space="preserve">Action Step 3: </w:t>
      </w:r>
      <w:r w:rsidRPr="000A2256">
        <w:t xml:space="preserve"> Engage and support research of doctoral, masters, and undergraduate students t</w:t>
      </w:r>
      <w:r w:rsidR="009B3A8D">
        <w:t>o enhance research productivity</w:t>
      </w:r>
      <w:r w:rsidRPr="000A2256">
        <w:t xml:space="preserve"> and to increase doctoral program ranking.</w:t>
      </w:r>
    </w:p>
    <w:p w14:paraId="56240CF5" w14:textId="77777777" w:rsidR="000A2256" w:rsidRPr="000A2256" w:rsidRDefault="0003434B" w:rsidP="00D37930">
      <w:pPr>
        <w:pStyle w:val="ListParagraph"/>
      </w:pPr>
      <w:r w:rsidRPr="000A2256">
        <w:rPr>
          <w:u w:val="single"/>
        </w:rPr>
        <w:t xml:space="preserve">Action Step 4: </w:t>
      </w:r>
      <w:r w:rsidRPr="000A2256">
        <w:t xml:space="preserve"> Pursue gifts and endowments in support of the research mission through creation of new endowed faculty chairs and professorships to recruit and </w:t>
      </w:r>
      <w:r w:rsidRPr="000A2256">
        <w:lastRenderedPageBreak/>
        <w:t>retain meritorious faculty and associated doctoral students in all areas of CHS research and scholarship.</w:t>
      </w:r>
    </w:p>
    <w:p w14:paraId="20967AD8" w14:textId="77777777" w:rsidR="000A2256" w:rsidRPr="000A2256" w:rsidRDefault="0003434B" w:rsidP="00D37930">
      <w:pPr>
        <w:pStyle w:val="ListParagraph"/>
      </w:pPr>
      <w:r w:rsidRPr="000A2256">
        <w:rPr>
          <w:u w:val="single"/>
        </w:rPr>
        <w:t>Action Step 5:</w:t>
      </w:r>
      <w:r w:rsidRPr="000A2256">
        <w:t xml:space="preserve">  Target recruitment of diverse, world-class scholars to collaborate with University Centers.</w:t>
      </w:r>
    </w:p>
    <w:p w14:paraId="73F50739" w14:textId="77777777" w:rsidR="0003434B" w:rsidRPr="0025736B" w:rsidRDefault="0003434B" w:rsidP="0003434B">
      <w:pPr>
        <w:pStyle w:val="Subheading"/>
        <w:rPr>
          <w:rFonts w:ascii="Georgia" w:hAnsi="Georgia" w:cs="Times New Roman"/>
          <w:b w:val="0"/>
          <w:color w:val="auto"/>
          <w:sz w:val="24"/>
          <w:szCs w:val="24"/>
        </w:rPr>
      </w:pPr>
    </w:p>
    <w:p w14:paraId="421A21C2" w14:textId="77777777" w:rsidR="000A2256" w:rsidRDefault="0003434B" w:rsidP="0003434B">
      <w:pPr>
        <w:pStyle w:val="Subheading"/>
        <w:rPr>
          <w:rFonts w:ascii="Georgia" w:hAnsi="Georgia" w:cs="Times New Roman"/>
          <w:i/>
          <w:color w:val="000000"/>
          <w:sz w:val="24"/>
          <w:szCs w:val="24"/>
        </w:rPr>
      </w:pPr>
      <w:r w:rsidRPr="0025736B">
        <w:rPr>
          <w:rFonts w:ascii="Georgia" w:hAnsi="Georgia" w:cs="Times New Roman"/>
          <w:i/>
          <w:color w:val="000000"/>
          <w:sz w:val="24"/>
          <w:szCs w:val="24"/>
        </w:rPr>
        <w:t>Strategic Initiative 3:  Facilitate collaboration for CHS researchers to increase participation on interdisciplinary teams that will promote productivity and retention.</w:t>
      </w:r>
    </w:p>
    <w:p w14:paraId="0FB28894" w14:textId="020CF1B3" w:rsidR="000A2256" w:rsidRPr="000A2256" w:rsidRDefault="0003434B" w:rsidP="00D37930">
      <w:pPr>
        <w:pStyle w:val="ListParagraph"/>
        <w:rPr>
          <w:color w:val="000000"/>
        </w:rPr>
      </w:pPr>
      <w:r w:rsidRPr="000A2256">
        <w:rPr>
          <w:u w:val="single"/>
        </w:rPr>
        <w:t>Action Step 1:</w:t>
      </w:r>
      <w:r w:rsidR="000A2256">
        <w:t xml:space="preserve"> </w:t>
      </w:r>
      <w:r w:rsidRPr="000A2256">
        <w:t>Strengthen faculty mentoring at</w:t>
      </w:r>
      <w:r w:rsidR="00D44F9E" w:rsidRPr="000A2256">
        <w:t xml:space="preserve"> the college level to ensure</w:t>
      </w:r>
      <w:r w:rsidRPr="000A2256">
        <w:t xml:space="preserve"> faculty research needs are expressly address</w:t>
      </w:r>
      <w:r w:rsidR="000A2256">
        <w:t>ed.</w:t>
      </w:r>
    </w:p>
    <w:p w14:paraId="072CD49F" w14:textId="764331A2" w:rsidR="000A2256" w:rsidRPr="000A2256" w:rsidRDefault="0003434B" w:rsidP="00D37930">
      <w:pPr>
        <w:pStyle w:val="ListParagraph"/>
      </w:pPr>
      <w:r w:rsidRPr="000A2256">
        <w:rPr>
          <w:u w:val="single"/>
        </w:rPr>
        <w:t>Action Step 2:</w:t>
      </w:r>
      <w:r w:rsidR="000A2256">
        <w:t xml:space="preserve"> </w:t>
      </w:r>
      <w:r w:rsidRPr="000A2256">
        <w:t>Provide faculty pilot funding opportunities f</w:t>
      </w:r>
      <w:r w:rsidRPr="000A2256">
        <w:rPr>
          <w:color w:val="000000"/>
        </w:rPr>
        <w:t>ocused on building and growing interdisciplinary research teams, within and across colleges/centers, to incentivize grant submissions and allow the transition to sponsored research.</w:t>
      </w:r>
    </w:p>
    <w:p w14:paraId="12ED73F9" w14:textId="48A8A584" w:rsidR="0003434B" w:rsidRPr="000A2256" w:rsidRDefault="0003434B" w:rsidP="00D37930">
      <w:pPr>
        <w:pStyle w:val="ListParagraph"/>
      </w:pPr>
      <w:r w:rsidRPr="000A2256">
        <w:rPr>
          <w:color w:val="000000"/>
          <w:u w:val="single"/>
        </w:rPr>
        <w:t>Action Step 3:</w:t>
      </w:r>
      <w:r w:rsidRPr="000A2256">
        <w:rPr>
          <w:color w:val="000000"/>
        </w:rPr>
        <w:t xml:space="preserve"> </w:t>
      </w:r>
      <w:r w:rsidRPr="000A2256">
        <w:t xml:space="preserve">Expand opportunities for faculty not currently engaged in sponsored research to promote inclusion on teams, including: </w:t>
      </w:r>
    </w:p>
    <w:p w14:paraId="3A86D713" w14:textId="77777777" w:rsidR="0003434B" w:rsidRPr="0025736B" w:rsidRDefault="0003434B" w:rsidP="000A2256">
      <w:pPr>
        <w:pStyle w:val="Default"/>
        <w:numPr>
          <w:ilvl w:val="0"/>
          <w:numId w:val="2"/>
        </w:numPr>
        <w:ind w:left="900"/>
        <w:rPr>
          <w:rFonts w:ascii="Georgia" w:hAnsi="Georgia" w:cs="Times New Roman"/>
        </w:rPr>
      </w:pPr>
      <w:r w:rsidRPr="0025736B">
        <w:rPr>
          <w:rFonts w:ascii="Georgia" w:hAnsi="Georgia" w:cs="Times New Roman"/>
        </w:rPr>
        <w:t>C</w:t>
      </w:r>
      <w:r w:rsidRPr="0025736B">
        <w:rPr>
          <w:rFonts w:ascii="Georgia" w:hAnsi="Georgia" w:cs="Times New Roman"/>
          <w:color w:val="auto"/>
        </w:rPr>
        <w:t>linical disciplines to contribute to evidence-based practice by engaging in comparative effectiveness research.</w:t>
      </w:r>
    </w:p>
    <w:p w14:paraId="61F5C68C" w14:textId="77777777" w:rsidR="0003434B" w:rsidRPr="0025736B" w:rsidRDefault="0003434B" w:rsidP="000A2256">
      <w:pPr>
        <w:pStyle w:val="Default"/>
        <w:numPr>
          <w:ilvl w:val="0"/>
          <w:numId w:val="2"/>
        </w:numPr>
        <w:ind w:left="900"/>
        <w:rPr>
          <w:rFonts w:ascii="Georgia" w:hAnsi="Georgia" w:cs="Times New Roman"/>
        </w:rPr>
      </w:pPr>
      <w:r w:rsidRPr="0025736B">
        <w:rPr>
          <w:rFonts w:ascii="Georgia" w:hAnsi="Georgia" w:cs="Times New Roman"/>
        </w:rPr>
        <w:t xml:space="preserve">Scholarship related to innovative instructional and service endeavors, with community collaboration. </w:t>
      </w:r>
    </w:p>
    <w:p w14:paraId="2CCED01D" w14:textId="77777777" w:rsidR="0003434B" w:rsidRPr="0025736B" w:rsidRDefault="0003434B" w:rsidP="0003434B">
      <w:pPr>
        <w:pStyle w:val="Default"/>
        <w:ind w:left="720"/>
        <w:rPr>
          <w:rFonts w:ascii="Georgia" w:hAnsi="Georgia" w:cs="Times New Roman"/>
        </w:rPr>
      </w:pPr>
    </w:p>
    <w:p w14:paraId="1512A78E" w14:textId="77777777" w:rsidR="0003434B" w:rsidRPr="0025736B" w:rsidRDefault="0003434B" w:rsidP="0003434B">
      <w:pPr>
        <w:autoSpaceDE w:val="0"/>
        <w:autoSpaceDN w:val="0"/>
        <w:adjustRightInd w:val="0"/>
        <w:spacing w:after="0"/>
        <w:rPr>
          <w:b/>
          <w:bCs/>
          <w:i/>
          <w:iCs/>
          <w:color w:val="000000"/>
        </w:rPr>
      </w:pPr>
      <w:r w:rsidRPr="0025736B">
        <w:rPr>
          <w:b/>
          <w:bCs/>
          <w:i/>
          <w:iCs/>
          <w:color w:val="000000"/>
        </w:rPr>
        <w:t xml:space="preserve">Strategic Initiative </w:t>
      </w:r>
      <w:r w:rsidRPr="0025736B">
        <w:rPr>
          <w:b/>
          <w:bCs/>
          <w:color w:val="000000"/>
        </w:rPr>
        <w:t>4</w:t>
      </w:r>
      <w:r w:rsidRPr="0025736B">
        <w:rPr>
          <w:b/>
          <w:bCs/>
          <w:i/>
          <w:iCs/>
          <w:color w:val="000000"/>
        </w:rPr>
        <w:t xml:space="preserve">: Strengthen engagement efforts and translation of research and creative work for the benefit of the Commonwealth of Kentucky. </w:t>
      </w:r>
    </w:p>
    <w:p w14:paraId="07B29CD9" w14:textId="77777777" w:rsidR="0003434B" w:rsidRPr="0025736B" w:rsidRDefault="0003434B" w:rsidP="0003434B">
      <w:pPr>
        <w:autoSpaceDE w:val="0"/>
        <w:autoSpaceDN w:val="0"/>
        <w:adjustRightInd w:val="0"/>
        <w:spacing w:after="0"/>
        <w:rPr>
          <w:color w:val="000000"/>
        </w:rPr>
      </w:pPr>
    </w:p>
    <w:p w14:paraId="745BEB7C" w14:textId="2FC5F620" w:rsidR="000A2256" w:rsidRPr="000A2256" w:rsidRDefault="0003434B" w:rsidP="00D37930">
      <w:pPr>
        <w:pStyle w:val="ListParagraph"/>
        <w:rPr>
          <w:b/>
        </w:rPr>
      </w:pPr>
      <w:r w:rsidRPr="000A2256">
        <w:rPr>
          <w:u w:val="single"/>
        </w:rPr>
        <w:t>Action Step 1</w:t>
      </w:r>
      <w:r w:rsidRPr="00014D5C">
        <w:t xml:space="preserve">: </w:t>
      </w:r>
      <w:r w:rsidRPr="0025736B">
        <w:t xml:space="preserve">Promote the development of innovation, intellectual property, and technology transfer by encouraging and supporting broader participation in intellectual property development across the college and communication with the intellectual property development office. </w:t>
      </w:r>
    </w:p>
    <w:p w14:paraId="17EC70FA" w14:textId="3E37CA43" w:rsidR="0003434B" w:rsidRPr="000A2256" w:rsidRDefault="0003434B" w:rsidP="000A2256">
      <w:pPr>
        <w:pStyle w:val="ListParagraph"/>
      </w:pPr>
      <w:r w:rsidRPr="000A2256">
        <w:rPr>
          <w:rFonts w:eastAsiaTheme="minorHAnsi"/>
          <w:u w:val="single"/>
        </w:rPr>
        <w:t>Action Step 2</w:t>
      </w:r>
      <w:r w:rsidR="000A2256">
        <w:rPr>
          <w:rFonts w:eastAsiaTheme="minorHAnsi"/>
        </w:rPr>
        <w:t>:</w:t>
      </w:r>
      <w:r w:rsidRPr="000A2256">
        <w:rPr>
          <w:rFonts w:eastAsiaTheme="minorHAnsi"/>
        </w:rPr>
        <w:t xml:space="preserve"> </w:t>
      </w:r>
      <w:r w:rsidRPr="000A2256">
        <w:t>Promote and strength</w:t>
      </w:r>
      <w:r w:rsidR="008C3CB9" w:rsidRPr="000A2256">
        <w:t>en state and local partnerships</w:t>
      </w:r>
      <w:r w:rsidRPr="000A2256">
        <w:t xml:space="preserve"> so that infrastructure continues to grow to facilitate translation of research findings into the community.</w:t>
      </w:r>
    </w:p>
    <w:p w14:paraId="55742C32" w14:textId="7D573FCE" w:rsidR="0003434B" w:rsidRDefault="0003434B" w:rsidP="000A2256">
      <w:pPr>
        <w:pStyle w:val="ListParagraph"/>
      </w:pPr>
      <w:r w:rsidRPr="000A2256">
        <w:rPr>
          <w:u w:val="single"/>
        </w:rPr>
        <w:t>Action Step 3</w:t>
      </w:r>
      <w:r w:rsidRPr="000A2256">
        <w:t>: Provide pilot funding</w:t>
      </w:r>
      <w:r w:rsidRPr="0025736B">
        <w:t xml:space="preserve"> opportunities to increase engagement of community stakeholders and</w:t>
      </w:r>
      <w:r w:rsidR="007D6D0A">
        <w:t xml:space="preserve"> other CHS research initiatives</w:t>
      </w:r>
      <w:r w:rsidR="00FA6FB8">
        <w:t xml:space="preserve"> and </w:t>
      </w:r>
      <w:r w:rsidRPr="0025736B">
        <w:t>facilitate health services and patie</w:t>
      </w:r>
      <w:r w:rsidR="007D6D0A">
        <w:t>nt-centered outcomes research</w:t>
      </w:r>
      <w:r w:rsidR="00FA6FB8">
        <w:t xml:space="preserve"> </w:t>
      </w:r>
      <w:r w:rsidR="00FD7B7F">
        <w:t xml:space="preserve">to </w:t>
      </w:r>
      <w:r w:rsidRPr="0025736B">
        <w:t>address health disparities in the Commonwealth.</w:t>
      </w:r>
    </w:p>
    <w:p w14:paraId="7E96D628" w14:textId="1737CF61" w:rsidR="000A2256" w:rsidRDefault="000A2256">
      <w:pPr>
        <w:spacing w:after="0"/>
      </w:pPr>
      <w:r>
        <w:br w:type="page"/>
      </w:r>
    </w:p>
    <w:p w14:paraId="224F42A2" w14:textId="3405C6B5" w:rsidR="005E483A" w:rsidRPr="000B71AF" w:rsidRDefault="005E483A" w:rsidP="002C2BB3">
      <w:pPr>
        <w:pStyle w:val="Heading2"/>
      </w:pPr>
      <w:r w:rsidRPr="000B71AF">
        <w:lastRenderedPageBreak/>
        <w:t>Metrics</w:t>
      </w:r>
    </w:p>
    <w:tbl>
      <w:tblPr>
        <w:tblStyle w:val="Style1"/>
        <w:tblW w:w="5268" w:type="pct"/>
        <w:tblLayout w:type="fixed"/>
        <w:tblLook w:val="04A0" w:firstRow="1" w:lastRow="0" w:firstColumn="1" w:lastColumn="0" w:noHBand="0" w:noVBand="1"/>
      </w:tblPr>
      <w:tblGrid>
        <w:gridCol w:w="2429"/>
        <w:gridCol w:w="3689"/>
        <w:gridCol w:w="1872"/>
        <w:gridCol w:w="1872"/>
      </w:tblGrid>
      <w:tr w:rsidR="00612C5B" w:rsidRPr="000B71AF" w14:paraId="7D70F88E" w14:textId="77777777" w:rsidTr="00E25EAA">
        <w:trPr>
          <w:cnfStyle w:val="100000000000" w:firstRow="1" w:lastRow="0" w:firstColumn="0" w:lastColumn="0" w:oddVBand="0" w:evenVBand="0" w:oddHBand="0" w:evenHBand="0" w:firstRowFirstColumn="0" w:firstRowLastColumn="0" w:lastRowFirstColumn="0" w:lastRowLastColumn="0"/>
          <w:trHeight w:val="144"/>
        </w:trPr>
        <w:tc>
          <w:tcPr>
            <w:tcW w:w="1231" w:type="pct"/>
            <w:vAlign w:val="bottom"/>
          </w:tcPr>
          <w:p w14:paraId="55BC1632" w14:textId="77777777" w:rsidR="00612C5B" w:rsidRPr="000B71AF" w:rsidRDefault="00612C5B" w:rsidP="00882F3F">
            <w:pPr>
              <w:spacing w:after="0"/>
              <w:rPr>
                <w:b/>
              </w:rPr>
            </w:pPr>
            <w:r w:rsidRPr="000B71AF">
              <w:rPr>
                <w:b/>
              </w:rPr>
              <w:t>Metric</w:t>
            </w:r>
          </w:p>
        </w:tc>
        <w:tc>
          <w:tcPr>
            <w:tcW w:w="1870" w:type="pct"/>
            <w:vAlign w:val="bottom"/>
          </w:tcPr>
          <w:p w14:paraId="2BAC51BC" w14:textId="77777777" w:rsidR="00612C5B" w:rsidRPr="000B71AF" w:rsidRDefault="00612C5B" w:rsidP="00882F3F">
            <w:pPr>
              <w:spacing w:after="0"/>
              <w:rPr>
                <w:b/>
              </w:rPr>
            </w:pPr>
            <w:r w:rsidRPr="000B71AF">
              <w:rPr>
                <w:b/>
              </w:rPr>
              <w:t>Definition</w:t>
            </w:r>
          </w:p>
        </w:tc>
        <w:tc>
          <w:tcPr>
            <w:tcW w:w="949" w:type="pct"/>
            <w:vAlign w:val="bottom"/>
          </w:tcPr>
          <w:p w14:paraId="0CC85D69" w14:textId="73F95F08" w:rsidR="00612C5B" w:rsidRPr="000B71AF" w:rsidRDefault="00E25EAA" w:rsidP="00882F3F">
            <w:pPr>
              <w:spacing w:after="0"/>
              <w:jc w:val="center"/>
              <w:rPr>
                <w:b/>
              </w:rPr>
            </w:pPr>
            <w:r>
              <w:rPr>
                <w:b/>
              </w:rPr>
              <w:t xml:space="preserve">CHS </w:t>
            </w:r>
            <w:r w:rsidR="00612C5B" w:rsidRPr="000B71AF">
              <w:rPr>
                <w:b/>
              </w:rPr>
              <w:t>Baseline</w:t>
            </w:r>
          </w:p>
        </w:tc>
        <w:tc>
          <w:tcPr>
            <w:tcW w:w="949" w:type="pct"/>
            <w:vAlign w:val="bottom"/>
          </w:tcPr>
          <w:p w14:paraId="7DB43CE3" w14:textId="40BF9BCF" w:rsidR="00612C5B" w:rsidRPr="000B71AF" w:rsidRDefault="00E25EAA" w:rsidP="00882F3F">
            <w:pPr>
              <w:spacing w:after="0"/>
              <w:jc w:val="center"/>
              <w:rPr>
                <w:b/>
              </w:rPr>
            </w:pPr>
            <w:r>
              <w:rPr>
                <w:b/>
              </w:rPr>
              <w:t xml:space="preserve">CHS </w:t>
            </w:r>
            <w:r w:rsidR="00612C5B" w:rsidRPr="000B71AF">
              <w:rPr>
                <w:b/>
              </w:rPr>
              <w:t>2021</w:t>
            </w:r>
            <w:r w:rsidR="00612C5B" w:rsidRPr="000B71AF">
              <w:rPr>
                <w:b/>
                <w:color w:val="FF0000"/>
              </w:rPr>
              <w:t xml:space="preserve"> </w:t>
            </w:r>
            <w:r w:rsidR="00612C5B" w:rsidRPr="000B71AF">
              <w:rPr>
                <w:b/>
              </w:rPr>
              <w:t>Target</w:t>
            </w:r>
          </w:p>
        </w:tc>
      </w:tr>
      <w:tr w:rsidR="00612C5B" w:rsidRPr="000B71AF" w14:paraId="6307DBE1" w14:textId="77777777" w:rsidTr="00E25EAA">
        <w:trPr>
          <w:trHeight w:val="2362"/>
        </w:trPr>
        <w:tc>
          <w:tcPr>
            <w:tcW w:w="1231" w:type="pct"/>
          </w:tcPr>
          <w:p w14:paraId="71FC4A22" w14:textId="77777777" w:rsidR="00612C5B" w:rsidRPr="00882F3F" w:rsidRDefault="00612C5B" w:rsidP="00882F3F">
            <w:pPr>
              <w:spacing w:after="0"/>
            </w:pPr>
            <w:r w:rsidRPr="00882F3F">
              <w:t xml:space="preserve">Total R &amp; D Expenditures </w:t>
            </w:r>
          </w:p>
        </w:tc>
        <w:tc>
          <w:tcPr>
            <w:tcW w:w="1870" w:type="pct"/>
          </w:tcPr>
          <w:p w14:paraId="1B0AADBE" w14:textId="03B81A1C" w:rsidR="00612C5B" w:rsidRDefault="00612C5B" w:rsidP="00882F3F">
            <w:pPr>
              <w:spacing w:after="0"/>
            </w:pPr>
            <w:r w:rsidRPr="00882F3F">
              <w:t xml:space="preserve">CHS Federal Research </w:t>
            </w:r>
          </w:p>
          <w:p w14:paraId="4626F266" w14:textId="2BE8BF96" w:rsidR="00612C5B" w:rsidRDefault="00612C5B" w:rsidP="00882F3F">
            <w:pPr>
              <w:spacing w:after="0"/>
            </w:pPr>
            <w:r w:rsidRPr="00882F3F">
              <w:t>Expenditures</w:t>
            </w:r>
          </w:p>
          <w:p w14:paraId="48CE4D9B" w14:textId="65ED408F" w:rsidR="00612C5B" w:rsidRDefault="00510F53" w:rsidP="00882F3F">
            <w:pPr>
              <w:spacing w:after="0"/>
              <w:rPr>
                <w:i/>
                <w:sz w:val="20"/>
              </w:rPr>
            </w:pPr>
            <w:r w:rsidRPr="00E25EAA">
              <w:rPr>
                <w:i/>
                <w:sz w:val="20"/>
              </w:rPr>
              <w:t>(2014)</w:t>
            </w:r>
          </w:p>
          <w:p w14:paraId="59D29D97" w14:textId="77777777" w:rsidR="00510F53" w:rsidRPr="00882F3F" w:rsidRDefault="00510F53" w:rsidP="00882F3F">
            <w:pPr>
              <w:spacing w:after="0"/>
            </w:pPr>
          </w:p>
          <w:p w14:paraId="5F2E0806" w14:textId="77777777" w:rsidR="00612C5B" w:rsidRDefault="00612C5B" w:rsidP="00882F3F">
            <w:pPr>
              <w:spacing w:after="0"/>
            </w:pPr>
            <w:r w:rsidRPr="00882F3F">
              <w:t>CHS Total Research Expenditures</w:t>
            </w:r>
          </w:p>
          <w:p w14:paraId="2D841E4F" w14:textId="00EC40FE" w:rsidR="00612C5B" w:rsidRDefault="00510F53" w:rsidP="00882F3F">
            <w:pPr>
              <w:spacing w:after="0"/>
              <w:rPr>
                <w:i/>
                <w:sz w:val="20"/>
              </w:rPr>
            </w:pPr>
            <w:r w:rsidRPr="00E25EAA">
              <w:rPr>
                <w:i/>
                <w:sz w:val="20"/>
              </w:rPr>
              <w:t>(2014)</w:t>
            </w:r>
          </w:p>
          <w:p w14:paraId="028610CA" w14:textId="77777777" w:rsidR="00510F53" w:rsidRPr="00882F3F" w:rsidRDefault="00510F53" w:rsidP="00882F3F">
            <w:pPr>
              <w:spacing w:after="0"/>
            </w:pPr>
          </w:p>
          <w:p w14:paraId="10597683" w14:textId="77777777" w:rsidR="00612C5B" w:rsidRDefault="00612C5B" w:rsidP="00882F3F">
            <w:pPr>
              <w:spacing w:after="0"/>
              <w:rPr>
                <w:vertAlign w:val="superscript"/>
              </w:rPr>
            </w:pPr>
            <w:r w:rsidRPr="00882F3F">
              <w:t>CHS Total Extramural Expenditures</w:t>
            </w:r>
            <w:r w:rsidR="00F82A7C">
              <w:rPr>
                <w:vertAlign w:val="superscript"/>
              </w:rPr>
              <w:t>1</w:t>
            </w:r>
          </w:p>
          <w:p w14:paraId="76B4DF94" w14:textId="53243743" w:rsidR="00510F53" w:rsidRPr="00F82A7C" w:rsidRDefault="00510F53" w:rsidP="00882F3F">
            <w:pPr>
              <w:spacing w:after="0"/>
              <w:rPr>
                <w:vertAlign w:val="superscript"/>
              </w:rPr>
            </w:pPr>
            <w:r w:rsidRPr="00E25EAA">
              <w:rPr>
                <w:i/>
                <w:sz w:val="20"/>
              </w:rPr>
              <w:t>(2014)</w:t>
            </w:r>
          </w:p>
        </w:tc>
        <w:tc>
          <w:tcPr>
            <w:tcW w:w="949" w:type="pct"/>
          </w:tcPr>
          <w:p w14:paraId="34FC51F3" w14:textId="42AF9B7F" w:rsidR="00612C5B" w:rsidRDefault="00612C5B" w:rsidP="00882F3F">
            <w:pPr>
              <w:spacing w:after="0"/>
            </w:pPr>
            <w:r w:rsidRPr="00882F3F">
              <w:t>$1.48 million</w:t>
            </w:r>
            <w:r w:rsidRPr="00882F3F">
              <w:br/>
            </w:r>
          </w:p>
          <w:p w14:paraId="63DFAAE1" w14:textId="77777777" w:rsidR="00612C5B" w:rsidRDefault="00612C5B" w:rsidP="00882F3F">
            <w:pPr>
              <w:spacing w:after="0"/>
            </w:pPr>
          </w:p>
          <w:p w14:paraId="650A5C19" w14:textId="77777777" w:rsidR="00510F53" w:rsidRDefault="00510F53" w:rsidP="00882F3F">
            <w:pPr>
              <w:spacing w:after="0"/>
            </w:pPr>
          </w:p>
          <w:p w14:paraId="4EE0A8E0" w14:textId="349CDD8D" w:rsidR="00612C5B" w:rsidRDefault="00612C5B" w:rsidP="00882F3F">
            <w:pPr>
              <w:spacing w:after="0"/>
            </w:pPr>
            <w:r w:rsidRPr="00882F3F">
              <w:t>$1.52 million</w:t>
            </w:r>
            <w:r w:rsidRPr="00882F3F">
              <w:br/>
            </w:r>
          </w:p>
          <w:p w14:paraId="49E54475" w14:textId="77777777" w:rsidR="00612C5B" w:rsidRDefault="00612C5B" w:rsidP="00882F3F">
            <w:pPr>
              <w:spacing w:after="0"/>
            </w:pPr>
          </w:p>
          <w:p w14:paraId="2F68DD9B" w14:textId="77777777" w:rsidR="00510F53" w:rsidRDefault="00510F53" w:rsidP="00882F3F">
            <w:pPr>
              <w:spacing w:after="0"/>
            </w:pPr>
          </w:p>
          <w:p w14:paraId="13F219E5" w14:textId="6C90F6D0" w:rsidR="00612C5B" w:rsidRPr="00882F3F" w:rsidRDefault="00612C5B" w:rsidP="00510F53">
            <w:pPr>
              <w:spacing w:after="0"/>
            </w:pPr>
            <w:r w:rsidRPr="00882F3F">
              <w:t>$1.67 million</w:t>
            </w:r>
            <w:r w:rsidRPr="00882F3F">
              <w:br/>
            </w:r>
          </w:p>
        </w:tc>
        <w:tc>
          <w:tcPr>
            <w:tcW w:w="949" w:type="pct"/>
          </w:tcPr>
          <w:p w14:paraId="0645BC6B" w14:textId="18083091" w:rsidR="00612C5B" w:rsidRDefault="00612C5B" w:rsidP="00882F3F">
            <w:pPr>
              <w:spacing w:after="0"/>
            </w:pPr>
            <w:r w:rsidRPr="00882F3F">
              <w:t>$1.85 million 25% increase</w:t>
            </w:r>
          </w:p>
          <w:p w14:paraId="0D3BEE1D" w14:textId="77777777" w:rsidR="00612C5B" w:rsidRDefault="00612C5B" w:rsidP="00882F3F">
            <w:pPr>
              <w:spacing w:after="0"/>
            </w:pPr>
          </w:p>
          <w:p w14:paraId="484C5A81" w14:textId="77777777" w:rsidR="00510F53" w:rsidRDefault="00510F53" w:rsidP="00882F3F">
            <w:pPr>
              <w:spacing w:after="0"/>
            </w:pPr>
          </w:p>
          <w:p w14:paraId="3C5A03A0" w14:textId="2F87DF35" w:rsidR="00612C5B" w:rsidRDefault="00612C5B" w:rsidP="00882F3F">
            <w:pPr>
              <w:spacing w:after="0"/>
            </w:pPr>
            <w:r w:rsidRPr="00882F3F">
              <w:t>$1.9 million 25% increase</w:t>
            </w:r>
          </w:p>
          <w:p w14:paraId="0A8AC58E" w14:textId="77777777" w:rsidR="00612C5B" w:rsidRDefault="00612C5B" w:rsidP="00882F3F">
            <w:pPr>
              <w:spacing w:after="0"/>
            </w:pPr>
          </w:p>
          <w:p w14:paraId="073CF33F" w14:textId="77777777" w:rsidR="00510F53" w:rsidRDefault="00510F53" w:rsidP="00882F3F">
            <w:pPr>
              <w:spacing w:after="0"/>
            </w:pPr>
          </w:p>
          <w:p w14:paraId="49D813AC" w14:textId="3784EE2F" w:rsidR="00612C5B" w:rsidRPr="00882F3F" w:rsidRDefault="00612C5B" w:rsidP="00882F3F">
            <w:pPr>
              <w:spacing w:after="0"/>
            </w:pPr>
            <w:r w:rsidRPr="00882F3F">
              <w:t>$2.1 million 25% increase</w:t>
            </w:r>
          </w:p>
        </w:tc>
      </w:tr>
      <w:tr w:rsidR="00612C5B" w:rsidRPr="000B71AF" w14:paraId="39B09E23" w14:textId="77777777" w:rsidTr="00E25EAA">
        <w:trPr>
          <w:trHeight w:val="144"/>
        </w:trPr>
        <w:tc>
          <w:tcPr>
            <w:tcW w:w="1231" w:type="pct"/>
          </w:tcPr>
          <w:p w14:paraId="0410A1CD" w14:textId="77777777" w:rsidR="00612C5B" w:rsidRPr="00882F3F" w:rsidRDefault="00612C5B" w:rsidP="00882F3F">
            <w:pPr>
              <w:spacing w:after="0"/>
            </w:pPr>
            <w:r w:rsidRPr="00882F3F">
              <w:t xml:space="preserve">Space ($/square foot) </w:t>
            </w:r>
          </w:p>
        </w:tc>
        <w:tc>
          <w:tcPr>
            <w:tcW w:w="1870" w:type="pct"/>
          </w:tcPr>
          <w:p w14:paraId="0D1BE85A" w14:textId="6443085E" w:rsidR="00612C5B" w:rsidRPr="00F82A7C" w:rsidRDefault="00612C5B" w:rsidP="00882F3F">
            <w:pPr>
              <w:spacing w:after="0"/>
              <w:rPr>
                <w:vertAlign w:val="superscript"/>
              </w:rPr>
            </w:pPr>
            <w:r w:rsidRPr="00882F3F">
              <w:t>Research lab space from F&amp;A calculation</w:t>
            </w:r>
            <w:r w:rsidR="00F82A7C">
              <w:rPr>
                <w:vertAlign w:val="superscript"/>
              </w:rPr>
              <w:t>2</w:t>
            </w:r>
          </w:p>
        </w:tc>
        <w:tc>
          <w:tcPr>
            <w:tcW w:w="949" w:type="pct"/>
          </w:tcPr>
          <w:p w14:paraId="02AD84FD" w14:textId="27187D75" w:rsidR="00E25EAA" w:rsidRPr="00970532" w:rsidRDefault="00612C5B" w:rsidP="00882F3F">
            <w:pPr>
              <w:spacing w:after="0"/>
            </w:pPr>
            <w:r w:rsidRPr="00882F3F">
              <w:t>$155/square foot</w:t>
            </w:r>
          </w:p>
        </w:tc>
        <w:tc>
          <w:tcPr>
            <w:tcW w:w="949" w:type="pct"/>
          </w:tcPr>
          <w:p w14:paraId="55D38B8A" w14:textId="77777777" w:rsidR="00612C5B" w:rsidRPr="00882F3F" w:rsidRDefault="00612C5B" w:rsidP="00882F3F">
            <w:pPr>
              <w:spacing w:after="0"/>
            </w:pPr>
            <w:r w:rsidRPr="00882F3F">
              <w:t>$194/square foot 25% increase</w:t>
            </w:r>
          </w:p>
        </w:tc>
      </w:tr>
      <w:tr w:rsidR="00612C5B" w:rsidRPr="000B71AF" w14:paraId="1FACEEDE" w14:textId="77777777" w:rsidTr="00A66BCB">
        <w:trPr>
          <w:trHeight w:val="4027"/>
        </w:trPr>
        <w:tc>
          <w:tcPr>
            <w:tcW w:w="1231" w:type="pct"/>
          </w:tcPr>
          <w:p w14:paraId="57BBA182" w14:textId="77777777" w:rsidR="00612C5B" w:rsidRDefault="00612C5B" w:rsidP="00882F3F">
            <w:pPr>
              <w:spacing w:after="0"/>
            </w:pPr>
            <w:r w:rsidRPr="00882F3F">
              <w:t>Proposal Submissions/</w:t>
            </w:r>
          </w:p>
          <w:p w14:paraId="529B6526" w14:textId="542FE3AC" w:rsidR="00612C5B" w:rsidRPr="00882F3F" w:rsidRDefault="00612C5B" w:rsidP="00882F3F">
            <w:pPr>
              <w:spacing w:after="0"/>
            </w:pPr>
            <w:r w:rsidRPr="00882F3F">
              <w:t>Success Rate</w:t>
            </w:r>
          </w:p>
        </w:tc>
        <w:tc>
          <w:tcPr>
            <w:tcW w:w="1870" w:type="pct"/>
          </w:tcPr>
          <w:p w14:paraId="65195090" w14:textId="24D8CA3A" w:rsidR="00612C5B" w:rsidRPr="00F82A7C" w:rsidRDefault="00612C5B" w:rsidP="00882F3F">
            <w:pPr>
              <w:spacing w:after="0"/>
              <w:rPr>
                <w:vertAlign w:val="superscript"/>
              </w:rPr>
            </w:pPr>
            <w:r w:rsidRPr="00882F3F">
              <w:t>Faculty/Staff Grant Submissions with CHS PI</w:t>
            </w:r>
            <w:r w:rsidR="00F82A7C">
              <w:rPr>
                <w:vertAlign w:val="superscript"/>
              </w:rPr>
              <w:t>3</w:t>
            </w:r>
          </w:p>
          <w:p w14:paraId="3764885F" w14:textId="64AD1699" w:rsidR="00612C5B" w:rsidRDefault="00510F53" w:rsidP="00882F3F">
            <w:pPr>
              <w:spacing w:after="0"/>
              <w:rPr>
                <w:i/>
                <w:sz w:val="20"/>
              </w:rPr>
            </w:pPr>
            <w:r w:rsidRPr="00E25EAA">
              <w:rPr>
                <w:i/>
                <w:sz w:val="20"/>
              </w:rPr>
              <w:t>(2014)</w:t>
            </w:r>
          </w:p>
          <w:p w14:paraId="5F48D827" w14:textId="77777777" w:rsidR="00510F53" w:rsidRPr="00882F3F" w:rsidRDefault="00510F53" w:rsidP="00882F3F">
            <w:pPr>
              <w:spacing w:after="0"/>
            </w:pPr>
          </w:p>
          <w:p w14:paraId="17348DF7" w14:textId="50EC70F6" w:rsidR="00612C5B" w:rsidRPr="00F82A7C" w:rsidRDefault="00612C5B" w:rsidP="00882F3F">
            <w:pPr>
              <w:spacing w:after="0"/>
              <w:rPr>
                <w:vertAlign w:val="superscript"/>
              </w:rPr>
            </w:pPr>
            <w:r w:rsidRPr="00882F3F">
              <w:t>Number of faculty submitting grants as PI</w:t>
            </w:r>
            <w:r w:rsidR="00F82A7C">
              <w:rPr>
                <w:vertAlign w:val="superscript"/>
              </w:rPr>
              <w:t>4</w:t>
            </w:r>
          </w:p>
          <w:p w14:paraId="0D5FC968" w14:textId="77777777" w:rsidR="00510F53" w:rsidRPr="00E25EAA" w:rsidRDefault="00510F53" w:rsidP="00510F53">
            <w:pPr>
              <w:spacing w:after="0"/>
              <w:rPr>
                <w:i/>
                <w:sz w:val="20"/>
              </w:rPr>
            </w:pPr>
            <w:r w:rsidRPr="00E25EAA">
              <w:rPr>
                <w:i/>
                <w:sz w:val="20"/>
              </w:rPr>
              <w:t>(2014)</w:t>
            </w:r>
          </w:p>
          <w:p w14:paraId="26D06AA5" w14:textId="77777777" w:rsidR="00612C5B" w:rsidRPr="00882F3F" w:rsidRDefault="00612C5B" w:rsidP="00882F3F">
            <w:pPr>
              <w:spacing w:after="0"/>
            </w:pPr>
          </w:p>
          <w:p w14:paraId="24981662" w14:textId="01553F18" w:rsidR="00612C5B" w:rsidRPr="00970532" w:rsidRDefault="00612C5B" w:rsidP="00882F3F">
            <w:pPr>
              <w:spacing w:after="0"/>
            </w:pPr>
            <w:r w:rsidRPr="00882F3F">
              <w:t>Proposal submissions involving community partners</w:t>
            </w:r>
          </w:p>
          <w:p w14:paraId="4A428A30" w14:textId="77777777" w:rsidR="00510F53" w:rsidRPr="00970532" w:rsidRDefault="00510F53" w:rsidP="00882F3F">
            <w:pPr>
              <w:spacing w:after="0"/>
              <w:rPr>
                <w:sz w:val="18"/>
              </w:rPr>
            </w:pPr>
          </w:p>
          <w:p w14:paraId="0442B138" w14:textId="77777777" w:rsidR="00970532" w:rsidRPr="00970532" w:rsidRDefault="00970532" w:rsidP="00882F3F">
            <w:pPr>
              <w:spacing w:after="0"/>
              <w:rPr>
                <w:sz w:val="18"/>
              </w:rPr>
            </w:pPr>
          </w:p>
          <w:p w14:paraId="1550AB6E" w14:textId="77777777" w:rsidR="00612C5B" w:rsidRDefault="00612C5B" w:rsidP="00882F3F">
            <w:pPr>
              <w:spacing w:after="0"/>
            </w:pPr>
            <w:r w:rsidRPr="00882F3F">
              <w:t xml:space="preserve">Collaborative grants with CHS faculty as co-investigators </w:t>
            </w:r>
          </w:p>
          <w:p w14:paraId="799F6A4A" w14:textId="2F5313DA" w:rsidR="00612C5B" w:rsidRDefault="00510F53" w:rsidP="00882F3F">
            <w:pPr>
              <w:spacing w:after="0"/>
              <w:rPr>
                <w:i/>
                <w:sz w:val="20"/>
              </w:rPr>
            </w:pPr>
            <w:r w:rsidRPr="00E25EAA">
              <w:rPr>
                <w:i/>
                <w:sz w:val="20"/>
              </w:rPr>
              <w:t>(2014)</w:t>
            </w:r>
          </w:p>
          <w:p w14:paraId="212D4D04" w14:textId="77777777" w:rsidR="00510F53" w:rsidRPr="00882F3F" w:rsidRDefault="00510F53" w:rsidP="00882F3F">
            <w:pPr>
              <w:spacing w:after="0"/>
            </w:pPr>
          </w:p>
          <w:p w14:paraId="081FC041" w14:textId="77777777" w:rsidR="00612C5B" w:rsidRDefault="00612C5B" w:rsidP="00882F3F">
            <w:pPr>
              <w:spacing w:after="0"/>
              <w:rPr>
                <w:vertAlign w:val="superscript"/>
              </w:rPr>
            </w:pPr>
            <w:r w:rsidRPr="00882F3F">
              <w:t xml:space="preserve">Proposal Success Rate </w:t>
            </w:r>
            <w:r w:rsidR="00F82A7C">
              <w:rPr>
                <w:vertAlign w:val="superscript"/>
              </w:rPr>
              <w:t>5</w:t>
            </w:r>
          </w:p>
          <w:p w14:paraId="2E8433CE" w14:textId="451F34FC" w:rsidR="00510F53" w:rsidRPr="00F82A7C" w:rsidRDefault="00510F53" w:rsidP="00882F3F">
            <w:pPr>
              <w:spacing w:after="0"/>
              <w:rPr>
                <w:vertAlign w:val="superscript"/>
              </w:rPr>
            </w:pPr>
            <w:r w:rsidRPr="00E25EAA">
              <w:rPr>
                <w:i/>
                <w:sz w:val="20"/>
              </w:rPr>
              <w:t>(2014)</w:t>
            </w:r>
          </w:p>
        </w:tc>
        <w:tc>
          <w:tcPr>
            <w:tcW w:w="949" w:type="pct"/>
          </w:tcPr>
          <w:p w14:paraId="1B4D7B49" w14:textId="67207ECB" w:rsidR="00612C5B" w:rsidRDefault="00612C5B" w:rsidP="00882F3F">
            <w:pPr>
              <w:spacing w:after="0"/>
            </w:pPr>
            <w:r w:rsidRPr="00882F3F">
              <w:t xml:space="preserve">27 proposals </w:t>
            </w:r>
          </w:p>
          <w:p w14:paraId="2EE57508" w14:textId="77777777" w:rsidR="00612C5B" w:rsidRDefault="00612C5B" w:rsidP="00882F3F">
            <w:pPr>
              <w:spacing w:after="0"/>
            </w:pPr>
          </w:p>
          <w:p w14:paraId="61F05C7B" w14:textId="77777777" w:rsidR="00510F53" w:rsidRDefault="00510F53" w:rsidP="00882F3F">
            <w:pPr>
              <w:spacing w:after="0"/>
            </w:pPr>
          </w:p>
          <w:p w14:paraId="5D18C634" w14:textId="77777777" w:rsidR="00510F53" w:rsidRPr="00E25EAA" w:rsidRDefault="00510F53" w:rsidP="00882F3F">
            <w:pPr>
              <w:spacing w:after="0"/>
            </w:pPr>
          </w:p>
          <w:p w14:paraId="475651DA" w14:textId="77777777" w:rsidR="00E25EAA" w:rsidRDefault="00612C5B" w:rsidP="00882F3F">
            <w:pPr>
              <w:spacing w:after="0"/>
            </w:pPr>
            <w:r w:rsidRPr="00882F3F">
              <w:t>13 faculty</w:t>
            </w:r>
          </w:p>
          <w:p w14:paraId="33C77193" w14:textId="77777777" w:rsidR="00612C5B" w:rsidRDefault="00612C5B" w:rsidP="00882F3F">
            <w:pPr>
              <w:spacing w:after="0"/>
            </w:pPr>
          </w:p>
          <w:p w14:paraId="1A78ABD5" w14:textId="77777777" w:rsidR="00510F53" w:rsidRDefault="00510F53" w:rsidP="00882F3F">
            <w:pPr>
              <w:spacing w:after="0"/>
            </w:pPr>
          </w:p>
          <w:p w14:paraId="2264D649" w14:textId="77777777" w:rsidR="00510F53" w:rsidRPr="00E25EAA" w:rsidRDefault="00510F53" w:rsidP="00882F3F">
            <w:pPr>
              <w:spacing w:after="0"/>
            </w:pPr>
          </w:p>
          <w:p w14:paraId="5D18B863" w14:textId="77777777" w:rsidR="00612C5B" w:rsidRDefault="00612C5B" w:rsidP="00882F3F">
            <w:pPr>
              <w:spacing w:after="0"/>
            </w:pPr>
            <w:r w:rsidRPr="00882F3F">
              <w:t>4 submissions</w:t>
            </w:r>
          </w:p>
          <w:p w14:paraId="59408A4D" w14:textId="77777777" w:rsidR="00510F53" w:rsidRDefault="00510F53" w:rsidP="00882F3F">
            <w:pPr>
              <w:spacing w:after="0"/>
            </w:pPr>
          </w:p>
          <w:p w14:paraId="5604767E" w14:textId="77777777" w:rsidR="00970532" w:rsidRPr="00E25EAA" w:rsidRDefault="00970532" w:rsidP="00882F3F">
            <w:pPr>
              <w:spacing w:after="0"/>
            </w:pPr>
          </w:p>
          <w:p w14:paraId="1866893B" w14:textId="5EA8ADC8" w:rsidR="00612C5B" w:rsidRDefault="00612C5B" w:rsidP="00882F3F">
            <w:pPr>
              <w:spacing w:after="0"/>
            </w:pPr>
            <w:r w:rsidRPr="00882F3F">
              <w:t>15 faculty on 22 proposals</w:t>
            </w:r>
            <w:r>
              <w:t xml:space="preserve"> </w:t>
            </w:r>
          </w:p>
          <w:p w14:paraId="37D318E2" w14:textId="77777777" w:rsidR="00612C5B" w:rsidRDefault="00612C5B" w:rsidP="00882F3F">
            <w:pPr>
              <w:spacing w:after="0"/>
            </w:pPr>
          </w:p>
          <w:p w14:paraId="3E6223CE" w14:textId="77777777" w:rsidR="00970532" w:rsidRPr="00E25EAA" w:rsidRDefault="00970532" w:rsidP="00882F3F">
            <w:pPr>
              <w:spacing w:after="0"/>
            </w:pPr>
          </w:p>
          <w:p w14:paraId="386E55B7" w14:textId="77777777" w:rsidR="00612C5B" w:rsidRDefault="00612C5B" w:rsidP="00882F3F">
            <w:pPr>
              <w:spacing w:after="0"/>
            </w:pPr>
            <w:r w:rsidRPr="00882F3F">
              <w:t xml:space="preserve">28% </w:t>
            </w:r>
          </w:p>
          <w:p w14:paraId="20C426E0" w14:textId="17F50F27" w:rsidR="00612C5B" w:rsidRPr="00E25EAA" w:rsidRDefault="00612C5B" w:rsidP="00882F3F">
            <w:pPr>
              <w:spacing w:after="0"/>
              <w:rPr>
                <w:i/>
              </w:rPr>
            </w:pPr>
          </w:p>
        </w:tc>
        <w:tc>
          <w:tcPr>
            <w:tcW w:w="949" w:type="pct"/>
          </w:tcPr>
          <w:p w14:paraId="2880DD26" w14:textId="140FB206" w:rsidR="00612C5B" w:rsidRDefault="00612C5B" w:rsidP="00882F3F">
            <w:pPr>
              <w:spacing w:after="0"/>
            </w:pPr>
            <w:r w:rsidRPr="00882F3F">
              <w:t>32 proposals</w:t>
            </w:r>
            <w:r>
              <w:t xml:space="preserve"> </w:t>
            </w:r>
            <w:r w:rsidRPr="00882F3F">
              <w:t>25% increase</w:t>
            </w:r>
          </w:p>
          <w:p w14:paraId="58BA5A9B" w14:textId="77777777" w:rsidR="00612C5B" w:rsidRDefault="00612C5B" w:rsidP="00E25EAA">
            <w:pPr>
              <w:spacing w:after="0"/>
              <w:rPr>
                <w:sz w:val="20"/>
              </w:rPr>
            </w:pPr>
          </w:p>
          <w:p w14:paraId="1C069540" w14:textId="77777777" w:rsidR="00510F53" w:rsidRPr="00E25EAA" w:rsidRDefault="00510F53" w:rsidP="00E25EAA">
            <w:pPr>
              <w:spacing w:after="0"/>
              <w:rPr>
                <w:sz w:val="20"/>
              </w:rPr>
            </w:pPr>
          </w:p>
          <w:p w14:paraId="13607A2A" w14:textId="77777777" w:rsidR="00612C5B" w:rsidRDefault="00612C5B" w:rsidP="00882F3F">
            <w:pPr>
              <w:spacing w:after="0"/>
            </w:pPr>
            <w:r w:rsidRPr="00882F3F">
              <w:t>16 faculty</w:t>
            </w:r>
            <w:r>
              <w:t xml:space="preserve"> </w:t>
            </w:r>
          </w:p>
          <w:p w14:paraId="72B0C5CE" w14:textId="773B6449" w:rsidR="00612C5B" w:rsidRDefault="00612C5B" w:rsidP="00882F3F">
            <w:pPr>
              <w:spacing w:after="0"/>
            </w:pPr>
            <w:r w:rsidRPr="00882F3F">
              <w:t>25% increase</w:t>
            </w:r>
          </w:p>
          <w:p w14:paraId="35A8218C" w14:textId="77777777" w:rsidR="00612C5B" w:rsidRDefault="00612C5B" w:rsidP="00882F3F">
            <w:pPr>
              <w:spacing w:after="0"/>
              <w:rPr>
                <w:sz w:val="20"/>
              </w:rPr>
            </w:pPr>
          </w:p>
          <w:p w14:paraId="43987398" w14:textId="77777777" w:rsidR="00510F53" w:rsidRDefault="00510F53" w:rsidP="00882F3F">
            <w:pPr>
              <w:spacing w:after="0"/>
              <w:rPr>
                <w:sz w:val="20"/>
              </w:rPr>
            </w:pPr>
          </w:p>
          <w:p w14:paraId="4A9762AA" w14:textId="77777777" w:rsidR="00510F53" w:rsidRPr="00E25EAA" w:rsidRDefault="00510F53" w:rsidP="00882F3F">
            <w:pPr>
              <w:spacing w:after="0"/>
              <w:rPr>
                <w:sz w:val="20"/>
              </w:rPr>
            </w:pPr>
          </w:p>
          <w:p w14:paraId="02A16939" w14:textId="4A81B422" w:rsidR="00612C5B" w:rsidRDefault="00612C5B" w:rsidP="00882F3F">
            <w:pPr>
              <w:spacing w:after="0"/>
            </w:pPr>
            <w:r w:rsidRPr="00882F3F">
              <w:t>6 submissions</w:t>
            </w:r>
            <w:r>
              <w:t xml:space="preserve"> </w:t>
            </w:r>
            <w:r w:rsidRPr="00882F3F">
              <w:t>50% increase</w:t>
            </w:r>
          </w:p>
          <w:p w14:paraId="637C0D9A" w14:textId="77777777" w:rsidR="00E25EAA" w:rsidRDefault="00E25EAA" w:rsidP="00882F3F">
            <w:pPr>
              <w:spacing w:after="0"/>
              <w:rPr>
                <w:sz w:val="20"/>
              </w:rPr>
            </w:pPr>
          </w:p>
          <w:p w14:paraId="054E6D14" w14:textId="77A0730B" w:rsidR="00612C5B" w:rsidRDefault="00612C5B" w:rsidP="00882F3F">
            <w:pPr>
              <w:spacing w:after="0"/>
            </w:pPr>
            <w:r w:rsidRPr="00882F3F">
              <w:t>27 proposals</w:t>
            </w:r>
            <w:r>
              <w:t xml:space="preserve"> </w:t>
            </w:r>
            <w:r w:rsidRPr="00882F3F">
              <w:t>25% increase</w:t>
            </w:r>
          </w:p>
          <w:p w14:paraId="2638001D" w14:textId="77777777" w:rsidR="00612C5B" w:rsidRDefault="00612C5B" w:rsidP="00882F3F">
            <w:pPr>
              <w:spacing w:after="0"/>
              <w:rPr>
                <w:sz w:val="20"/>
              </w:rPr>
            </w:pPr>
          </w:p>
          <w:p w14:paraId="0D9564F9" w14:textId="77777777" w:rsidR="00970532" w:rsidRDefault="00970532" w:rsidP="00882F3F">
            <w:pPr>
              <w:spacing w:after="0"/>
              <w:rPr>
                <w:sz w:val="20"/>
              </w:rPr>
            </w:pPr>
          </w:p>
          <w:p w14:paraId="20142C54" w14:textId="2CBB42AE" w:rsidR="00612C5B" w:rsidRPr="00882F3F" w:rsidRDefault="00612C5B" w:rsidP="00882F3F">
            <w:pPr>
              <w:spacing w:after="0"/>
            </w:pPr>
            <w:r w:rsidRPr="00882F3F">
              <w:t>35%</w:t>
            </w:r>
          </w:p>
        </w:tc>
      </w:tr>
      <w:tr w:rsidR="00612C5B" w:rsidRPr="000B71AF" w14:paraId="427F0CEF" w14:textId="77777777" w:rsidTr="00E25EAA">
        <w:trPr>
          <w:trHeight w:val="733"/>
        </w:trPr>
        <w:tc>
          <w:tcPr>
            <w:tcW w:w="1231" w:type="pct"/>
            <w:vMerge w:val="restart"/>
          </w:tcPr>
          <w:p w14:paraId="5233C302" w14:textId="77777777" w:rsidR="00612C5B" w:rsidRPr="00882F3F" w:rsidRDefault="00612C5B" w:rsidP="00882F3F">
            <w:pPr>
              <w:spacing w:after="0"/>
            </w:pPr>
            <w:r w:rsidRPr="00882F3F">
              <w:t>Doctoral Program Ranking</w:t>
            </w:r>
          </w:p>
          <w:p w14:paraId="26CD019D" w14:textId="77777777" w:rsidR="00612C5B" w:rsidRPr="00882F3F" w:rsidRDefault="00612C5B" w:rsidP="00882F3F">
            <w:pPr>
              <w:spacing w:after="0"/>
            </w:pPr>
          </w:p>
        </w:tc>
        <w:tc>
          <w:tcPr>
            <w:tcW w:w="1870" w:type="pct"/>
          </w:tcPr>
          <w:p w14:paraId="48617DA1" w14:textId="77777777" w:rsidR="00612C5B" w:rsidRDefault="00612C5B" w:rsidP="000A2256">
            <w:pPr>
              <w:spacing w:after="0"/>
            </w:pPr>
            <w:r w:rsidRPr="00882F3F">
              <w:t>Number of postdoctoral scholars/fellows</w:t>
            </w:r>
          </w:p>
          <w:p w14:paraId="21C3AE5E" w14:textId="5F1D5697" w:rsidR="00510F53" w:rsidRPr="00882F3F" w:rsidRDefault="00510F53" w:rsidP="000A2256">
            <w:pPr>
              <w:spacing w:after="0"/>
            </w:pPr>
            <w:r w:rsidRPr="00E25EAA">
              <w:rPr>
                <w:i/>
                <w:sz w:val="20"/>
              </w:rPr>
              <w:t>(2016)</w:t>
            </w:r>
          </w:p>
        </w:tc>
        <w:tc>
          <w:tcPr>
            <w:tcW w:w="949" w:type="pct"/>
          </w:tcPr>
          <w:p w14:paraId="6B0506D1" w14:textId="04F1B961" w:rsidR="00612C5B" w:rsidRPr="00882F3F" w:rsidRDefault="00612C5B" w:rsidP="00510F53">
            <w:pPr>
              <w:spacing w:after="0"/>
            </w:pPr>
            <w:r w:rsidRPr="00882F3F">
              <w:t>5 Post-docs</w:t>
            </w:r>
            <w:r w:rsidR="000A2256">
              <w:t xml:space="preserve"> </w:t>
            </w:r>
          </w:p>
        </w:tc>
        <w:tc>
          <w:tcPr>
            <w:tcW w:w="949" w:type="pct"/>
          </w:tcPr>
          <w:p w14:paraId="3AE36262" w14:textId="77777777" w:rsidR="00612C5B" w:rsidRPr="00882F3F" w:rsidRDefault="00612C5B" w:rsidP="00882F3F">
            <w:pPr>
              <w:spacing w:after="0"/>
            </w:pPr>
            <w:r w:rsidRPr="00882F3F">
              <w:t xml:space="preserve">25% increase </w:t>
            </w:r>
          </w:p>
        </w:tc>
      </w:tr>
      <w:tr w:rsidR="00612C5B" w:rsidRPr="000B71AF" w14:paraId="43C22D49" w14:textId="77777777" w:rsidTr="00E25EAA">
        <w:trPr>
          <w:trHeight w:val="144"/>
        </w:trPr>
        <w:tc>
          <w:tcPr>
            <w:tcW w:w="1231" w:type="pct"/>
            <w:vMerge/>
          </w:tcPr>
          <w:p w14:paraId="1F1FF788" w14:textId="77777777" w:rsidR="00612C5B" w:rsidRPr="00882F3F" w:rsidRDefault="00612C5B" w:rsidP="00882F3F">
            <w:pPr>
              <w:spacing w:after="0"/>
              <w:rPr>
                <w:color w:val="FF0000"/>
              </w:rPr>
            </w:pPr>
          </w:p>
        </w:tc>
        <w:tc>
          <w:tcPr>
            <w:tcW w:w="1870" w:type="pct"/>
          </w:tcPr>
          <w:p w14:paraId="27FA2D8C" w14:textId="10F75DFB" w:rsidR="00612C5B" w:rsidRDefault="00612C5B" w:rsidP="00882F3F">
            <w:pPr>
              <w:spacing w:after="0"/>
            </w:pPr>
            <w:r w:rsidRPr="00882F3F">
              <w:t>Number of fully</w:t>
            </w:r>
            <w:r w:rsidR="008A135D">
              <w:t>-</w:t>
            </w:r>
            <w:r w:rsidRPr="00882F3F">
              <w:t>funded doctoral studen</w:t>
            </w:r>
            <w:r w:rsidRPr="000A2256">
              <w:t xml:space="preserve">ts </w:t>
            </w:r>
          </w:p>
          <w:p w14:paraId="2867D38E" w14:textId="43B22BAD" w:rsidR="00510F53" w:rsidRPr="00882F3F" w:rsidRDefault="00510F53" w:rsidP="00882F3F">
            <w:pPr>
              <w:spacing w:after="0"/>
              <w:rPr>
                <w:color w:val="FF0000"/>
              </w:rPr>
            </w:pPr>
            <w:r w:rsidRPr="00E25EAA">
              <w:rPr>
                <w:i/>
                <w:sz w:val="20"/>
              </w:rPr>
              <w:t>(2016)</w:t>
            </w:r>
          </w:p>
        </w:tc>
        <w:tc>
          <w:tcPr>
            <w:tcW w:w="949" w:type="pct"/>
          </w:tcPr>
          <w:p w14:paraId="322BBC70" w14:textId="44E889C5" w:rsidR="00612C5B" w:rsidRPr="00882F3F" w:rsidRDefault="00612C5B" w:rsidP="00510F53">
            <w:pPr>
              <w:spacing w:after="0"/>
            </w:pPr>
            <w:r w:rsidRPr="00882F3F">
              <w:t>5 Students</w:t>
            </w:r>
            <w:r w:rsidR="000A2256">
              <w:t xml:space="preserve"> </w:t>
            </w:r>
          </w:p>
        </w:tc>
        <w:tc>
          <w:tcPr>
            <w:tcW w:w="949" w:type="pct"/>
          </w:tcPr>
          <w:p w14:paraId="52E8E3F6" w14:textId="77777777" w:rsidR="00612C5B" w:rsidRPr="00882F3F" w:rsidRDefault="00612C5B" w:rsidP="00882F3F">
            <w:pPr>
              <w:spacing w:after="0"/>
            </w:pPr>
            <w:r w:rsidRPr="00882F3F">
              <w:t>Increase funded students by 25%</w:t>
            </w:r>
          </w:p>
        </w:tc>
      </w:tr>
      <w:tr w:rsidR="00612C5B" w:rsidRPr="000B71AF" w14:paraId="6B78558F" w14:textId="77777777" w:rsidTr="00E25EAA">
        <w:trPr>
          <w:trHeight w:val="697"/>
        </w:trPr>
        <w:tc>
          <w:tcPr>
            <w:tcW w:w="1231" w:type="pct"/>
            <w:vMerge/>
          </w:tcPr>
          <w:p w14:paraId="0B502FA6" w14:textId="77777777" w:rsidR="00612C5B" w:rsidRPr="00882F3F" w:rsidRDefault="00612C5B" w:rsidP="00882F3F">
            <w:pPr>
              <w:spacing w:after="0"/>
              <w:rPr>
                <w:color w:val="FF0000"/>
              </w:rPr>
            </w:pPr>
          </w:p>
        </w:tc>
        <w:tc>
          <w:tcPr>
            <w:tcW w:w="1870" w:type="pct"/>
          </w:tcPr>
          <w:p w14:paraId="658B7014" w14:textId="77777777" w:rsidR="00490481" w:rsidRDefault="00612C5B" w:rsidP="00882F3F">
            <w:pPr>
              <w:spacing w:after="0"/>
              <w:rPr>
                <w:color w:val="000000" w:themeColor="text1"/>
                <w:vertAlign w:val="superscript"/>
              </w:rPr>
            </w:pPr>
            <w:r w:rsidRPr="00412144">
              <w:rPr>
                <w:color w:val="000000" w:themeColor="text1"/>
              </w:rPr>
              <w:t>Time to completion of Doctoral Degree Program</w:t>
            </w:r>
            <w:r w:rsidR="00F82A7C" w:rsidRPr="00412144">
              <w:rPr>
                <w:color w:val="000000" w:themeColor="text1"/>
                <w:vertAlign w:val="superscript"/>
              </w:rPr>
              <w:t>6</w:t>
            </w:r>
          </w:p>
          <w:p w14:paraId="1E40BCE3" w14:textId="3C89C019" w:rsidR="00612C5B" w:rsidRPr="00412144" w:rsidRDefault="00490481" w:rsidP="00490481">
            <w:pPr>
              <w:spacing w:after="0"/>
              <w:rPr>
                <w:vertAlign w:val="superscript"/>
              </w:rPr>
            </w:pPr>
            <w:r>
              <w:rPr>
                <w:i/>
                <w:sz w:val="20"/>
              </w:rPr>
              <w:t>(</w:t>
            </w:r>
            <w:r w:rsidR="00B8589C">
              <w:rPr>
                <w:i/>
                <w:sz w:val="20"/>
              </w:rPr>
              <w:t xml:space="preserve">3-year average- 2014, 2015, </w:t>
            </w:r>
            <w:r>
              <w:rPr>
                <w:i/>
                <w:sz w:val="20"/>
              </w:rPr>
              <w:t>2016</w:t>
            </w:r>
            <w:r w:rsidR="00EC05A5">
              <w:rPr>
                <w:i/>
                <w:sz w:val="20"/>
              </w:rPr>
              <w:t xml:space="preserve"> graduating cohorts</w:t>
            </w:r>
            <w:r w:rsidRPr="00E25EAA">
              <w:rPr>
                <w:i/>
                <w:sz w:val="20"/>
              </w:rPr>
              <w:t>)</w:t>
            </w:r>
          </w:p>
        </w:tc>
        <w:tc>
          <w:tcPr>
            <w:tcW w:w="949" w:type="pct"/>
          </w:tcPr>
          <w:p w14:paraId="349B122E" w14:textId="2950B1D4" w:rsidR="00612C5B" w:rsidRPr="00882F3F" w:rsidRDefault="00490481" w:rsidP="00882F3F">
            <w:pPr>
              <w:spacing w:after="0"/>
            </w:pPr>
            <w:r>
              <w:t>6.83 years</w:t>
            </w:r>
          </w:p>
        </w:tc>
        <w:tc>
          <w:tcPr>
            <w:tcW w:w="949" w:type="pct"/>
          </w:tcPr>
          <w:p w14:paraId="3C152DA7" w14:textId="3C580DD9" w:rsidR="00612C5B" w:rsidRPr="00882F3F" w:rsidRDefault="00C83854" w:rsidP="00882F3F">
            <w:pPr>
              <w:spacing w:after="0"/>
            </w:pPr>
            <w:r>
              <w:t>4 years</w:t>
            </w:r>
          </w:p>
        </w:tc>
      </w:tr>
    </w:tbl>
    <w:p w14:paraId="743F0091" w14:textId="0CA6B5F5" w:rsidR="00612C5B" w:rsidRPr="00A66BCB" w:rsidRDefault="00F82A7C" w:rsidP="00612C5B">
      <w:pPr>
        <w:spacing w:after="60"/>
        <w:rPr>
          <w:sz w:val="20"/>
          <w:szCs w:val="20"/>
        </w:rPr>
      </w:pPr>
      <w:r w:rsidRPr="00A66BCB">
        <w:rPr>
          <w:rFonts w:cs="Georgia"/>
          <w:b/>
          <w:bCs/>
          <w:color w:val="000000"/>
          <w:sz w:val="20"/>
          <w:szCs w:val="20"/>
          <w:vertAlign w:val="superscript"/>
        </w:rPr>
        <w:t>1</w:t>
      </w:r>
      <w:r w:rsidR="00612C5B" w:rsidRPr="00A66BCB">
        <w:rPr>
          <w:rFonts w:cs="Georgia"/>
          <w:b/>
          <w:bCs/>
          <w:color w:val="000000"/>
          <w:sz w:val="20"/>
          <w:szCs w:val="20"/>
        </w:rPr>
        <w:t xml:space="preserve"> </w:t>
      </w:r>
      <w:r w:rsidR="00612C5B" w:rsidRPr="00A66BCB">
        <w:rPr>
          <w:sz w:val="20"/>
          <w:szCs w:val="20"/>
        </w:rPr>
        <w:t xml:space="preserve">This includes extramural expenditures across all functions, including research, instruction, public service, and fellowships.  </w:t>
      </w:r>
    </w:p>
    <w:p w14:paraId="0DFAD6B3" w14:textId="58D8685D" w:rsidR="00612C5B" w:rsidRPr="00A66BCB" w:rsidRDefault="00F82A7C" w:rsidP="00612C5B">
      <w:pPr>
        <w:spacing w:after="60"/>
        <w:rPr>
          <w:rFonts w:cs="Georgia"/>
          <w:b/>
          <w:bCs/>
          <w:color w:val="000000"/>
          <w:sz w:val="20"/>
          <w:szCs w:val="20"/>
        </w:rPr>
      </w:pPr>
      <w:r w:rsidRPr="00A66BCB">
        <w:rPr>
          <w:sz w:val="20"/>
          <w:szCs w:val="20"/>
          <w:vertAlign w:val="superscript"/>
        </w:rPr>
        <w:lastRenderedPageBreak/>
        <w:t>2</w:t>
      </w:r>
      <w:r w:rsidR="00612C5B" w:rsidRPr="00A66BCB">
        <w:rPr>
          <w:sz w:val="20"/>
          <w:szCs w:val="20"/>
        </w:rPr>
        <w:t xml:space="preserve"> $1.52 million/9,795 sq. feet (includes wet, dry, service). UK goal is 20% increase of space that reaches $300/square foot</w:t>
      </w:r>
      <w:r w:rsidR="00612C5B" w:rsidRPr="00A66BCB">
        <w:rPr>
          <w:rFonts w:cs="Georgia"/>
          <w:b/>
          <w:bCs/>
          <w:color w:val="000000"/>
          <w:sz w:val="20"/>
          <w:szCs w:val="20"/>
        </w:rPr>
        <w:t xml:space="preserve"> </w:t>
      </w:r>
    </w:p>
    <w:p w14:paraId="0DEA3176" w14:textId="70321DDE" w:rsidR="00612C5B" w:rsidRPr="00A66BCB" w:rsidRDefault="00F82A7C" w:rsidP="00612C5B">
      <w:pPr>
        <w:spacing w:after="60"/>
        <w:rPr>
          <w:sz w:val="20"/>
          <w:szCs w:val="20"/>
        </w:rPr>
      </w:pPr>
      <w:r w:rsidRPr="00A66BCB">
        <w:rPr>
          <w:sz w:val="20"/>
          <w:szCs w:val="20"/>
          <w:vertAlign w:val="superscript"/>
        </w:rPr>
        <w:t xml:space="preserve">3 </w:t>
      </w:r>
      <w:r w:rsidR="00612C5B" w:rsidRPr="00A66BCB">
        <w:rPr>
          <w:sz w:val="20"/>
          <w:szCs w:val="20"/>
        </w:rPr>
        <w:t xml:space="preserve">Includes LOIs, pre-applications, and full proposals to internal and external funding sources. </w:t>
      </w:r>
    </w:p>
    <w:p w14:paraId="1C88909F" w14:textId="0D033D2C" w:rsidR="00612C5B" w:rsidRPr="00A66BCB" w:rsidRDefault="00F82A7C" w:rsidP="00612C5B">
      <w:pPr>
        <w:spacing w:after="60"/>
        <w:rPr>
          <w:sz w:val="20"/>
          <w:szCs w:val="20"/>
        </w:rPr>
      </w:pPr>
      <w:r w:rsidRPr="00A66BCB">
        <w:rPr>
          <w:sz w:val="20"/>
          <w:szCs w:val="20"/>
          <w:vertAlign w:val="superscript"/>
        </w:rPr>
        <w:t xml:space="preserve">4 </w:t>
      </w:r>
      <w:r w:rsidR="00612C5B" w:rsidRPr="00A66BCB">
        <w:rPr>
          <w:sz w:val="20"/>
          <w:szCs w:val="20"/>
        </w:rPr>
        <w:t xml:space="preserve">Community partners are non-academic institutions, i.e. </w:t>
      </w:r>
      <w:proofErr w:type="spellStart"/>
      <w:r w:rsidR="00612C5B" w:rsidRPr="00A66BCB">
        <w:rPr>
          <w:sz w:val="20"/>
          <w:szCs w:val="20"/>
        </w:rPr>
        <w:t>Homeplace</w:t>
      </w:r>
      <w:proofErr w:type="spellEnd"/>
      <w:r w:rsidR="00612C5B" w:rsidRPr="00A66BCB">
        <w:rPr>
          <w:sz w:val="20"/>
          <w:szCs w:val="20"/>
        </w:rPr>
        <w:t xml:space="preserve">, YMCA, Public schools, etc. </w:t>
      </w:r>
    </w:p>
    <w:p w14:paraId="21DCDAFF" w14:textId="0141CB79" w:rsidR="00612C5B" w:rsidRPr="00A66BCB" w:rsidRDefault="00F82A7C" w:rsidP="00612C5B">
      <w:pPr>
        <w:spacing w:after="60"/>
        <w:rPr>
          <w:sz w:val="20"/>
          <w:szCs w:val="20"/>
        </w:rPr>
      </w:pPr>
      <w:r w:rsidRPr="00A66BCB">
        <w:rPr>
          <w:sz w:val="20"/>
          <w:szCs w:val="20"/>
          <w:vertAlign w:val="superscript"/>
        </w:rPr>
        <w:t xml:space="preserve">5 </w:t>
      </w:r>
      <w:r w:rsidR="00612C5B" w:rsidRPr="00A66BCB">
        <w:rPr>
          <w:sz w:val="20"/>
          <w:szCs w:val="20"/>
        </w:rPr>
        <w:t>This metric is the truest determinant of an effective research enterprise. It speaks to innovation, relevance, and faculty expertise. Overall proposal submissions could decrease as long as the hit rate increases.</w:t>
      </w:r>
    </w:p>
    <w:p w14:paraId="58BBA722" w14:textId="59C43D8B" w:rsidR="00490481" w:rsidRPr="00490481" w:rsidRDefault="00F82A7C" w:rsidP="00490481">
      <w:pPr>
        <w:spacing w:after="60"/>
        <w:rPr>
          <w:rFonts w:cs="Georgia"/>
          <w:b/>
          <w:bCs/>
        </w:rPr>
      </w:pPr>
      <w:r w:rsidRPr="00490481">
        <w:rPr>
          <w:sz w:val="20"/>
          <w:szCs w:val="20"/>
          <w:vertAlign w:val="superscript"/>
        </w:rPr>
        <w:t>6</w:t>
      </w:r>
      <w:r w:rsidR="00490481">
        <w:rPr>
          <w:sz w:val="20"/>
          <w:szCs w:val="20"/>
          <w:vertAlign w:val="superscript"/>
        </w:rPr>
        <w:t xml:space="preserve"> </w:t>
      </w:r>
      <w:r w:rsidR="00490481">
        <w:rPr>
          <w:sz w:val="20"/>
          <w:szCs w:val="20"/>
        </w:rPr>
        <w:t>Includ</w:t>
      </w:r>
      <w:r w:rsidR="005071EB">
        <w:rPr>
          <w:sz w:val="20"/>
          <w:szCs w:val="20"/>
        </w:rPr>
        <w:t>es all graduating students regardless of attendance intensity (full- or part-time)</w:t>
      </w:r>
      <w:r w:rsidR="00490481">
        <w:rPr>
          <w:sz w:val="20"/>
          <w:szCs w:val="20"/>
        </w:rPr>
        <w:t>.</w:t>
      </w:r>
    </w:p>
    <w:p w14:paraId="2543EC92" w14:textId="4B0A0221" w:rsidR="00A56100" w:rsidRPr="00612C5B" w:rsidRDefault="00A56100" w:rsidP="00612C5B">
      <w:pPr>
        <w:spacing w:after="60"/>
        <w:rPr>
          <w:rFonts w:cs="Georgia"/>
          <w:b/>
          <w:bCs/>
          <w:color w:val="000000"/>
        </w:rPr>
      </w:pPr>
      <w:r w:rsidRPr="00612C5B">
        <w:rPr>
          <w:rFonts w:cs="Georgia"/>
          <w:b/>
          <w:bCs/>
          <w:color w:val="000000"/>
        </w:rPr>
        <w:br w:type="page"/>
      </w:r>
    </w:p>
    <w:p w14:paraId="731DC1D2" w14:textId="566C3607" w:rsidR="00A56100" w:rsidRPr="000B71AF" w:rsidRDefault="00A56100" w:rsidP="0005344A">
      <w:pPr>
        <w:pStyle w:val="Heading1"/>
        <w:spacing w:after="0"/>
      </w:pPr>
      <w:r w:rsidRPr="000B71AF">
        <w:lastRenderedPageBreak/>
        <w:t xml:space="preserve">STRATEGIC OBJECTIVE: </w:t>
      </w:r>
    </w:p>
    <w:p w14:paraId="16B9ACCA" w14:textId="57A19737" w:rsidR="00A56100" w:rsidRPr="000B71AF" w:rsidRDefault="00A56100" w:rsidP="0005344A">
      <w:pPr>
        <w:pStyle w:val="Heading1"/>
        <w:numPr>
          <w:ilvl w:val="0"/>
          <w:numId w:val="0"/>
        </w:numPr>
      </w:pPr>
      <w:r w:rsidRPr="000B71AF">
        <w:t>OUTREACH AND COMMUNITY ENGAGEMENT</w:t>
      </w:r>
    </w:p>
    <w:p w14:paraId="1CDE79D5" w14:textId="77777777" w:rsidR="005A1F3D" w:rsidRDefault="005A1F3D" w:rsidP="005A1F3D">
      <w:pPr>
        <w:rPr>
          <w:b/>
          <w:bCs/>
        </w:rPr>
      </w:pPr>
      <w:r w:rsidRPr="005A1F3D">
        <w:rPr>
          <w:b/>
          <w:bCs/>
        </w:rPr>
        <w:t>Leverage leading-edge technology, scholarship, and research in innovative ways to advance the public good and to foster the development of citizen- scholars.</w:t>
      </w:r>
    </w:p>
    <w:p w14:paraId="4BB0A088" w14:textId="77777777" w:rsidR="005A1F3D" w:rsidRPr="005A1F3D" w:rsidRDefault="005A1F3D" w:rsidP="005A1F3D">
      <w:pPr>
        <w:rPr>
          <w:b/>
          <w:bCs/>
        </w:rPr>
      </w:pPr>
    </w:p>
    <w:p w14:paraId="21BBFFCD" w14:textId="320AEDDC" w:rsidR="000F03C2" w:rsidRPr="000B71AF" w:rsidRDefault="000F03C2" w:rsidP="0095723B">
      <w:r w:rsidRPr="000B71AF">
        <w:t>CHS has many examples of outstanding outreach and community engagement</w:t>
      </w:r>
      <w:r w:rsidR="00174BCB">
        <w:t xml:space="preserve">, examples include: </w:t>
      </w:r>
      <w:r w:rsidRPr="000B71AF">
        <w:t xml:space="preserve">Shoulder to Shoulder Global in Ecuador, reduced-cost academic speech and pro-bono physical therapy clinics, </w:t>
      </w:r>
      <w:r w:rsidR="00174BCB">
        <w:t xml:space="preserve">and </w:t>
      </w:r>
      <w:r w:rsidRPr="000B71AF">
        <w:t>engagement in enhancing rural health care needs in the Commonwealth via the various initiatives of the KARRN program</w:t>
      </w:r>
      <w:r w:rsidR="00174BCB">
        <w:t>.</w:t>
      </w:r>
      <w:r w:rsidRPr="000B71AF">
        <w:t xml:space="preserve"> These initiatives engage our outstanding clinical faculty, staff and</w:t>
      </w:r>
      <w:r w:rsidR="00014D5C">
        <w:t>,</w:t>
      </w:r>
      <w:r w:rsidRPr="000B71AF">
        <w:t xml:space="preserve"> students with the community to foster healthy environments and lifestyles, often bringing services to those </w:t>
      </w:r>
      <w:r w:rsidR="00014D5C" w:rsidRPr="000B71AF">
        <w:t xml:space="preserve">most </w:t>
      </w:r>
      <w:r w:rsidRPr="000B71AF">
        <w:t>in need. The professions represented in CHS are truly the helping professions that restore our citizen’s independence, dignity, and hope.</w:t>
      </w:r>
    </w:p>
    <w:p w14:paraId="44511864" w14:textId="77777777" w:rsidR="000F03C2" w:rsidRPr="000B71AF" w:rsidRDefault="000F03C2" w:rsidP="002C2BB3">
      <w:pPr>
        <w:pStyle w:val="Heading2"/>
      </w:pPr>
      <w:r w:rsidRPr="000B71AF">
        <w:t>Strategic Initiatives and Action Steps</w:t>
      </w:r>
    </w:p>
    <w:p w14:paraId="762181A7" w14:textId="70EB58B0" w:rsidR="000F03C2" w:rsidRPr="000B71AF" w:rsidRDefault="0095723B" w:rsidP="00E12931">
      <w:pPr>
        <w:pStyle w:val="Heading3a"/>
      </w:pPr>
      <w:r>
        <w:t xml:space="preserve">CHS </w:t>
      </w:r>
      <w:r w:rsidR="000F03C2" w:rsidRPr="000B71AF">
        <w:t>Strategic Initiative 1:  Deepen student learning through community engagement and volunteerism.</w:t>
      </w:r>
    </w:p>
    <w:p w14:paraId="7E77CEE3" w14:textId="02ACFB91" w:rsidR="000F03C2" w:rsidRPr="0095723B" w:rsidRDefault="00B7138D" w:rsidP="00B636AF">
      <w:pPr>
        <w:pStyle w:val="ListParagraph"/>
      </w:pPr>
      <w:r w:rsidRPr="00B7138D">
        <w:rPr>
          <w:u w:val="single"/>
        </w:rPr>
        <w:t>Action Step 1</w:t>
      </w:r>
      <w:r>
        <w:t xml:space="preserve">: </w:t>
      </w:r>
      <w:r w:rsidR="000F03C2" w:rsidRPr="0095723B">
        <w:t xml:space="preserve">Provide every student the opportunity to participate in a community engagement experience through academic coursework, clinical outreach services, service-learning, internships, education abroad, research, or co-curricular experiences. </w:t>
      </w:r>
    </w:p>
    <w:p w14:paraId="66922886" w14:textId="00E0A0E2" w:rsidR="000F03C2" w:rsidRPr="0095723B" w:rsidRDefault="00B7138D" w:rsidP="00B636AF">
      <w:pPr>
        <w:pStyle w:val="ListParagraph"/>
      </w:pPr>
      <w:r w:rsidRPr="00B7138D">
        <w:rPr>
          <w:u w:val="single"/>
        </w:rPr>
        <w:t xml:space="preserve">Action Step </w:t>
      </w:r>
      <w:r>
        <w:rPr>
          <w:u w:val="single"/>
        </w:rPr>
        <w:t>2</w:t>
      </w:r>
      <w:r>
        <w:t xml:space="preserve">: </w:t>
      </w:r>
      <w:r w:rsidR="000F03C2" w:rsidRPr="0095723B">
        <w:t>Develop faculty and staff expertise to deliver quality community engagement and outreach, service-learning courses, and co- curricular experiences that will utilize current best practices and be culturally competent, measurable</w:t>
      </w:r>
      <w:r w:rsidR="00014D5C">
        <w:t>,</w:t>
      </w:r>
      <w:r w:rsidR="000F03C2" w:rsidRPr="0095723B">
        <w:t xml:space="preserve"> and sustainable. </w:t>
      </w:r>
    </w:p>
    <w:p w14:paraId="102977F2" w14:textId="3FEDF1F7" w:rsidR="000F03C2" w:rsidRDefault="00B7138D" w:rsidP="00B636AF">
      <w:pPr>
        <w:pStyle w:val="ListParagraph"/>
      </w:pPr>
      <w:r w:rsidRPr="00B7138D">
        <w:rPr>
          <w:u w:val="single"/>
        </w:rPr>
        <w:t xml:space="preserve">Action Step </w:t>
      </w:r>
      <w:r>
        <w:rPr>
          <w:u w:val="single"/>
        </w:rPr>
        <w:t>3</w:t>
      </w:r>
      <w:r>
        <w:t xml:space="preserve">: </w:t>
      </w:r>
      <w:r w:rsidR="000F03C2" w:rsidRPr="0095723B">
        <w:t>Provide opportunities for community service outside the classroom through volunteer service experiences that expose students to people and places that expand their wor</w:t>
      </w:r>
      <w:r w:rsidR="00670FBF">
        <w:t>l</w:t>
      </w:r>
      <w:r w:rsidR="000F03C2" w:rsidRPr="0095723B">
        <w:t xml:space="preserve">d views.  </w:t>
      </w:r>
    </w:p>
    <w:p w14:paraId="0F293093" w14:textId="465996EC" w:rsidR="00B7138D" w:rsidRDefault="00B7138D">
      <w:pPr>
        <w:spacing w:after="0"/>
      </w:pPr>
      <w:r>
        <w:br w:type="page"/>
      </w:r>
    </w:p>
    <w:p w14:paraId="21EB3B89" w14:textId="44889BB3" w:rsidR="000F03C2" w:rsidRPr="000B71AF" w:rsidRDefault="0095723B" w:rsidP="00E12931">
      <w:pPr>
        <w:pStyle w:val="Heading3a"/>
      </w:pPr>
      <w:r>
        <w:lastRenderedPageBreak/>
        <w:t xml:space="preserve">CHS </w:t>
      </w:r>
      <w:r w:rsidR="000F03C2" w:rsidRPr="000B71AF">
        <w:t>Strategic Initiative 2:  Expand clinical education, research</w:t>
      </w:r>
      <w:r w:rsidR="00014D5C">
        <w:t>,</w:t>
      </w:r>
      <w:r w:rsidR="000F03C2" w:rsidRPr="000B71AF">
        <w:t xml:space="preserve"> and service through academic, co-curricular, and education abroad opportunities to address health disparities and better prepare our students to positively impact people’s health.</w:t>
      </w:r>
    </w:p>
    <w:p w14:paraId="5857A839" w14:textId="295D8178" w:rsidR="000F03C2" w:rsidRPr="00213844" w:rsidRDefault="00B7138D" w:rsidP="00B636AF">
      <w:pPr>
        <w:pStyle w:val="ListParagraph"/>
        <w:rPr>
          <w:i/>
        </w:rPr>
      </w:pPr>
      <w:r w:rsidRPr="00B7138D">
        <w:rPr>
          <w:u w:val="single"/>
        </w:rPr>
        <w:t>Action Step 1</w:t>
      </w:r>
      <w:r>
        <w:t xml:space="preserve">: </w:t>
      </w:r>
      <w:r w:rsidR="000F03C2" w:rsidRPr="0095723B">
        <w:t>Develop an increased number of clinical education sites across all college disciplines in which students gain experience in health care delivery, service and</w:t>
      </w:r>
      <w:r w:rsidR="00014D5C">
        <w:t>,</w:t>
      </w:r>
      <w:r w:rsidR="000F03C2" w:rsidRPr="0095723B">
        <w:t xml:space="preserve"> research in rural, urban</w:t>
      </w:r>
      <w:r w:rsidR="00014D5C">
        <w:t>,</w:t>
      </w:r>
      <w:r w:rsidR="000F03C2" w:rsidRPr="0095723B">
        <w:t xml:space="preserve"> and otherwise underserved areas in order to bring the CHS’s collective expertise in health care into these areas.</w:t>
      </w:r>
    </w:p>
    <w:p w14:paraId="09ED904B" w14:textId="22C9FF95" w:rsidR="000F03C2" w:rsidRPr="000B71AF" w:rsidRDefault="004B4FA1" w:rsidP="00E12931">
      <w:pPr>
        <w:pStyle w:val="Heading3a"/>
      </w:pPr>
      <w:r>
        <w:t xml:space="preserve">CHS </w:t>
      </w:r>
      <w:r w:rsidR="000F03C2" w:rsidRPr="000B71AF">
        <w:t>Strategic Initiative 3:  Increase the partnership with UK Healthcare and health related community partners and utilize technology to take advantage of the clinical and research expertise of the CHS faculty and staff increasing their impact on the health of the people of Kentucky and beyond</w:t>
      </w:r>
      <w:r w:rsidR="00114718">
        <w:t>.</w:t>
      </w:r>
      <w:r w:rsidR="000F03C2" w:rsidRPr="000B71AF">
        <w:t xml:space="preserve"> </w:t>
      </w:r>
    </w:p>
    <w:p w14:paraId="79C5515A" w14:textId="6DA09D2D" w:rsidR="000F03C2" w:rsidRPr="00213844" w:rsidRDefault="00B7138D" w:rsidP="00B636AF">
      <w:pPr>
        <w:pStyle w:val="ListParagraph"/>
        <w:rPr>
          <w:i/>
        </w:rPr>
      </w:pPr>
      <w:r w:rsidRPr="00B7138D">
        <w:rPr>
          <w:u w:val="single"/>
        </w:rPr>
        <w:t>Action Step 1</w:t>
      </w:r>
      <w:r>
        <w:t xml:space="preserve">: </w:t>
      </w:r>
      <w:r w:rsidR="000F03C2" w:rsidRPr="0095723B">
        <w:t>Develop clinical practice and applied research opportunities with UK Healthcare</w:t>
      </w:r>
      <w:r w:rsidR="000F03C2" w:rsidRPr="00213844">
        <w:rPr>
          <w:i/>
        </w:rPr>
        <w:t xml:space="preserve">.  </w:t>
      </w:r>
    </w:p>
    <w:p w14:paraId="21CEEE2C" w14:textId="5432E730" w:rsidR="000F03C2" w:rsidRPr="00213844" w:rsidRDefault="00B7138D" w:rsidP="00B636AF">
      <w:pPr>
        <w:pStyle w:val="ListParagraph"/>
        <w:rPr>
          <w:color w:val="000000" w:themeColor="text1"/>
        </w:rPr>
      </w:pPr>
      <w:r w:rsidRPr="00B7138D">
        <w:rPr>
          <w:u w:val="single"/>
        </w:rPr>
        <w:t xml:space="preserve">Action Step </w:t>
      </w:r>
      <w:r>
        <w:rPr>
          <w:u w:val="single"/>
        </w:rPr>
        <w:t>2</w:t>
      </w:r>
      <w:r>
        <w:t xml:space="preserve">: </w:t>
      </w:r>
      <w:r w:rsidR="000F03C2" w:rsidRPr="0095723B">
        <w:t xml:space="preserve">Develop telehealth programs in collaboration with community partners </w:t>
      </w:r>
      <w:r w:rsidR="000F03C2" w:rsidRPr="00213844">
        <w:rPr>
          <w:color w:val="000000" w:themeColor="text1"/>
        </w:rPr>
        <w:t>in need of speech and language pathology services.</w:t>
      </w:r>
    </w:p>
    <w:p w14:paraId="1A93C6DC" w14:textId="48053604" w:rsidR="000F03C2" w:rsidRPr="00213844" w:rsidRDefault="00B7138D" w:rsidP="00B636AF">
      <w:pPr>
        <w:pStyle w:val="ListParagraph"/>
      </w:pPr>
      <w:r>
        <w:rPr>
          <w:u w:val="single"/>
        </w:rPr>
        <w:t>Action Step 3</w:t>
      </w:r>
      <w:r>
        <w:t xml:space="preserve">: </w:t>
      </w:r>
      <w:r w:rsidR="00213844" w:rsidRPr="00213844">
        <w:t>Collaborate among the healthcare colleges and UK Healthcare to develop and implement new clinical programs.</w:t>
      </w:r>
    </w:p>
    <w:p w14:paraId="1ABA51B3" w14:textId="77777777" w:rsidR="0095723B" w:rsidRDefault="0095723B">
      <w:pPr>
        <w:spacing w:after="0"/>
        <w:rPr>
          <w:b/>
        </w:rPr>
      </w:pPr>
      <w:r>
        <w:rPr>
          <w:b/>
        </w:rPr>
        <w:br w:type="page"/>
      </w:r>
    </w:p>
    <w:p w14:paraId="3240943B" w14:textId="090EE02A" w:rsidR="000F03C2" w:rsidRPr="000B71AF" w:rsidRDefault="000F03C2" w:rsidP="002C2BB3">
      <w:pPr>
        <w:pStyle w:val="Heading2"/>
      </w:pPr>
      <w:r w:rsidRPr="000B71AF">
        <w:lastRenderedPageBreak/>
        <w:t>Metrics</w:t>
      </w:r>
    </w:p>
    <w:tbl>
      <w:tblPr>
        <w:tblStyle w:val="Style1"/>
        <w:tblW w:w="9720" w:type="dxa"/>
        <w:tblLayout w:type="fixed"/>
        <w:tblLook w:val="04A0" w:firstRow="1" w:lastRow="0" w:firstColumn="1" w:lastColumn="0" w:noHBand="0" w:noVBand="1"/>
      </w:tblPr>
      <w:tblGrid>
        <w:gridCol w:w="2880"/>
        <w:gridCol w:w="3240"/>
        <w:gridCol w:w="1800"/>
        <w:gridCol w:w="1800"/>
      </w:tblGrid>
      <w:tr w:rsidR="00824166" w:rsidRPr="000B71AF" w14:paraId="5E2B188C" w14:textId="77777777" w:rsidTr="00022E15">
        <w:trPr>
          <w:cnfStyle w:val="100000000000" w:firstRow="1" w:lastRow="0" w:firstColumn="0" w:lastColumn="0" w:oddVBand="0" w:evenVBand="0" w:oddHBand="0" w:evenHBand="0" w:firstRowFirstColumn="0" w:firstRowLastColumn="0" w:lastRowFirstColumn="0" w:lastRowLastColumn="0"/>
          <w:trHeight w:val="558"/>
        </w:trPr>
        <w:tc>
          <w:tcPr>
            <w:tcW w:w="2880" w:type="dxa"/>
            <w:vAlign w:val="bottom"/>
          </w:tcPr>
          <w:p w14:paraId="33ECC181" w14:textId="77777777" w:rsidR="000F03C2" w:rsidRPr="007D2110" w:rsidRDefault="000F03C2" w:rsidP="007D2110">
            <w:pPr>
              <w:autoSpaceDE w:val="0"/>
              <w:autoSpaceDN w:val="0"/>
              <w:adjustRightInd w:val="0"/>
              <w:spacing w:after="0"/>
              <w:rPr>
                <w:rFonts w:cs="Georgia"/>
                <w:color w:val="000000"/>
              </w:rPr>
            </w:pPr>
            <w:r w:rsidRPr="007D2110">
              <w:rPr>
                <w:rFonts w:cs="Georgia"/>
                <w:b/>
                <w:bCs/>
                <w:color w:val="000000"/>
              </w:rPr>
              <w:t xml:space="preserve">Metric </w:t>
            </w:r>
          </w:p>
        </w:tc>
        <w:tc>
          <w:tcPr>
            <w:tcW w:w="3240" w:type="dxa"/>
            <w:vAlign w:val="bottom"/>
          </w:tcPr>
          <w:p w14:paraId="1CC84C9B" w14:textId="77777777" w:rsidR="000F03C2" w:rsidRPr="007D2110" w:rsidRDefault="000F03C2" w:rsidP="007D2110">
            <w:pPr>
              <w:autoSpaceDE w:val="0"/>
              <w:autoSpaceDN w:val="0"/>
              <w:adjustRightInd w:val="0"/>
              <w:spacing w:after="0"/>
              <w:rPr>
                <w:rFonts w:cs="Georgia"/>
                <w:color w:val="000000"/>
              </w:rPr>
            </w:pPr>
            <w:r w:rsidRPr="007D2110">
              <w:rPr>
                <w:rFonts w:cs="Georgia"/>
                <w:b/>
                <w:bCs/>
                <w:color w:val="000000"/>
              </w:rPr>
              <w:t xml:space="preserve">Definition </w:t>
            </w:r>
          </w:p>
        </w:tc>
        <w:tc>
          <w:tcPr>
            <w:tcW w:w="1800" w:type="dxa"/>
            <w:vAlign w:val="bottom"/>
          </w:tcPr>
          <w:p w14:paraId="4B2F8883" w14:textId="6853D435" w:rsidR="000F03C2" w:rsidRPr="007D2110" w:rsidRDefault="00174BCB" w:rsidP="007D2110">
            <w:pPr>
              <w:autoSpaceDE w:val="0"/>
              <w:autoSpaceDN w:val="0"/>
              <w:adjustRightInd w:val="0"/>
              <w:spacing w:after="0"/>
              <w:jc w:val="center"/>
              <w:rPr>
                <w:rFonts w:cs="Georgia"/>
                <w:color w:val="000000"/>
              </w:rPr>
            </w:pPr>
            <w:r>
              <w:rPr>
                <w:rFonts w:cs="Georgia"/>
                <w:b/>
                <w:bCs/>
                <w:color w:val="000000"/>
              </w:rPr>
              <w:t xml:space="preserve">CHS </w:t>
            </w:r>
            <w:r w:rsidR="000F03C2" w:rsidRPr="007D2110">
              <w:rPr>
                <w:rFonts w:cs="Georgia"/>
                <w:b/>
                <w:bCs/>
                <w:color w:val="000000"/>
              </w:rPr>
              <w:t>Baseline</w:t>
            </w:r>
          </w:p>
        </w:tc>
        <w:tc>
          <w:tcPr>
            <w:tcW w:w="1800" w:type="dxa"/>
            <w:vAlign w:val="bottom"/>
          </w:tcPr>
          <w:p w14:paraId="7994D7E3" w14:textId="7300D370" w:rsidR="000F03C2" w:rsidRPr="007D2110" w:rsidRDefault="00174BCB" w:rsidP="007D2110">
            <w:pPr>
              <w:autoSpaceDE w:val="0"/>
              <w:autoSpaceDN w:val="0"/>
              <w:adjustRightInd w:val="0"/>
              <w:spacing w:after="0"/>
              <w:jc w:val="center"/>
              <w:rPr>
                <w:rFonts w:cs="Georgia"/>
                <w:color w:val="000000"/>
              </w:rPr>
            </w:pPr>
            <w:r>
              <w:rPr>
                <w:rFonts w:cs="Georgia"/>
                <w:b/>
                <w:bCs/>
                <w:color w:val="000000"/>
              </w:rPr>
              <w:t xml:space="preserve">CHS </w:t>
            </w:r>
            <w:r w:rsidR="000F03C2" w:rsidRPr="007D2110">
              <w:rPr>
                <w:rFonts w:cs="Georgia"/>
                <w:b/>
                <w:bCs/>
                <w:color w:val="000000"/>
              </w:rPr>
              <w:t>2020 Target</w:t>
            </w:r>
          </w:p>
        </w:tc>
      </w:tr>
      <w:tr w:rsidR="00174BCB" w:rsidRPr="000B71AF" w14:paraId="49D10633" w14:textId="77777777" w:rsidTr="00174BCB">
        <w:trPr>
          <w:trHeight w:val="357"/>
        </w:trPr>
        <w:tc>
          <w:tcPr>
            <w:tcW w:w="2880" w:type="dxa"/>
          </w:tcPr>
          <w:p w14:paraId="7A070630" w14:textId="77777777" w:rsidR="00174BCB" w:rsidRDefault="00174BCB" w:rsidP="007D2110">
            <w:pPr>
              <w:autoSpaceDE w:val="0"/>
              <w:autoSpaceDN w:val="0"/>
              <w:adjustRightInd w:val="0"/>
              <w:spacing w:after="0"/>
              <w:rPr>
                <w:rFonts w:cs="Georgia"/>
                <w:color w:val="000000"/>
              </w:rPr>
            </w:pPr>
            <w:r w:rsidRPr="000B71AF">
              <w:rPr>
                <w:rFonts w:cs="Georgia"/>
                <w:color w:val="000000"/>
              </w:rPr>
              <w:t xml:space="preserve">Database tracking engagement and outreach </w:t>
            </w:r>
          </w:p>
          <w:p w14:paraId="3659A114" w14:textId="77777777" w:rsidR="00174BCB" w:rsidRPr="000B71AF" w:rsidRDefault="00174BCB" w:rsidP="007D2110">
            <w:pPr>
              <w:autoSpaceDE w:val="0"/>
              <w:autoSpaceDN w:val="0"/>
              <w:adjustRightInd w:val="0"/>
              <w:spacing w:after="0"/>
              <w:rPr>
                <w:rFonts w:cs="Georgia"/>
                <w:color w:val="000000"/>
              </w:rPr>
            </w:pPr>
          </w:p>
        </w:tc>
        <w:tc>
          <w:tcPr>
            <w:tcW w:w="3240" w:type="dxa"/>
          </w:tcPr>
          <w:p w14:paraId="27855D86" w14:textId="77777777" w:rsidR="00174BCB" w:rsidRPr="000B71AF" w:rsidRDefault="00174BCB" w:rsidP="007D2110">
            <w:pPr>
              <w:autoSpaceDE w:val="0"/>
              <w:autoSpaceDN w:val="0"/>
              <w:adjustRightInd w:val="0"/>
              <w:spacing w:after="0"/>
              <w:rPr>
                <w:rFonts w:cs="Georgia"/>
                <w:color w:val="000000"/>
              </w:rPr>
            </w:pPr>
            <w:r w:rsidRPr="000B71AF">
              <w:rPr>
                <w:rFonts w:cs="Georgia"/>
                <w:color w:val="000000"/>
              </w:rPr>
              <w:t xml:space="preserve">Databases dispersed among colleges and units </w:t>
            </w:r>
          </w:p>
        </w:tc>
        <w:tc>
          <w:tcPr>
            <w:tcW w:w="3600" w:type="dxa"/>
            <w:gridSpan w:val="2"/>
            <w:vMerge w:val="restart"/>
            <w:vAlign w:val="center"/>
          </w:tcPr>
          <w:p w14:paraId="38770A40" w14:textId="001547ED" w:rsidR="00174BCB" w:rsidRPr="000B71AF" w:rsidRDefault="00174BCB" w:rsidP="002259DE">
            <w:pPr>
              <w:autoSpaceDE w:val="0"/>
              <w:autoSpaceDN w:val="0"/>
              <w:adjustRightInd w:val="0"/>
              <w:spacing w:after="0"/>
              <w:jc w:val="center"/>
              <w:rPr>
                <w:rFonts w:cs="Georgia"/>
                <w:color w:val="000000"/>
              </w:rPr>
            </w:pPr>
            <w:r w:rsidRPr="000B71AF">
              <w:t>Create assessment for setting baseline in 2016-2017</w:t>
            </w:r>
            <w:r>
              <w:t xml:space="preserve"> in alignment with </w:t>
            </w:r>
            <w:r w:rsidR="00680CE3">
              <w:t xml:space="preserve">UK </w:t>
            </w:r>
            <w:r>
              <w:t>Office of Community Engagement guidelines.</w:t>
            </w:r>
            <w:r w:rsidR="00A91FCE">
              <w:t xml:space="preserve"> Currently, UK has not finalized data definition and collection processes.</w:t>
            </w:r>
          </w:p>
        </w:tc>
      </w:tr>
      <w:tr w:rsidR="00174BCB" w:rsidRPr="000B71AF" w14:paraId="5822FB48" w14:textId="77777777" w:rsidTr="00C07EB3">
        <w:trPr>
          <w:trHeight w:val="732"/>
        </w:trPr>
        <w:tc>
          <w:tcPr>
            <w:tcW w:w="2880" w:type="dxa"/>
          </w:tcPr>
          <w:p w14:paraId="7A8555E5" w14:textId="77777777" w:rsidR="00174BCB" w:rsidRDefault="00174BCB" w:rsidP="007D2110">
            <w:pPr>
              <w:autoSpaceDE w:val="0"/>
              <w:autoSpaceDN w:val="0"/>
              <w:adjustRightInd w:val="0"/>
              <w:spacing w:after="0"/>
              <w:rPr>
                <w:rFonts w:cs="Georgia"/>
                <w:color w:val="000000"/>
              </w:rPr>
            </w:pPr>
            <w:r w:rsidRPr="000B71AF">
              <w:rPr>
                <w:rFonts w:cs="Georgia"/>
                <w:color w:val="000000"/>
              </w:rPr>
              <w:t xml:space="preserve">Faculty and staff developing expertise to deliver quality community engagement and outreach </w:t>
            </w:r>
          </w:p>
          <w:p w14:paraId="72E7C145" w14:textId="77777777" w:rsidR="00174BCB" w:rsidRPr="000B71AF" w:rsidRDefault="00174BCB" w:rsidP="007D2110">
            <w:pPr>
              <w:autoSpaceDE w:val="0"/>
              <w:autoSpaceDN w:val="0"/>
              <w:adjustRightInd w:val="0"/>
              <w:spacing w:after="0"/>
              <w:rPr>
                <w:rFonts w:cs="Georgia"/>
                <w:color w:val="000000"/>
              </w:rPr>
            </w:pPr>
          </w:p>
        </w:tc>
        <w:tc>
          <w:tcPr>
            <w:tcW w:w="3240" w:type="dxa"/>
          </w:tcPr>
          <w:p w14:paraId="2AF508DB" w14:textId="77777777" w:rsidR="00174BCB" w:rsidRDefault="00174BCB" w:rsidP="007D2110">
            <w:pPr>
              <w:autoSpaceDE w:val="0"/>
              <w:autoSpaceDN w:val="0"/>
              <w:adjustRightInd w:val="0"/>
              <w:spacing w:after="0"/>
              <w:rPr>
                <w:rFonts w:cs="Georgia"/>
                <w:color w:val="000000"/>
              </w:rPr>
            </w:pPr>
            <w:r w:rsidRPr="000B71AF">
              <w:rPr>
                <w:rFonts w:cs="Georgia"/>
                <w:color w:val="000000"/>
              </w:rPr>
              <w:t xml:space="preserve">Faculty teaching community-based courses </w:t>
            </w:r>
          </w:p>
          <w:p w14:paraId="563BFCF5" w14:textId="77777777" w:rsidR="00174BCB" w:rsidRDefault="00174BCB" w:rsidP="007D2110">
            <w:pPr>
              <w:autoSpaceDE w:val="0"/>
              <w:autoSpaceDN w:val="0"/>
              <w:adjustRightInd w:val="0"/>
              <w:spacing w:after="0"/>
              <w:rPr>
                <w:rFonts w:cs="Georgia"/>
                <w:color w:val="000000"/>
              </w:rPr>
            </w:pPr>
          </w:p>
          <w:p w14:paraId="3FEE5FBD" w14:textId="15617115" w:rsidR="00174BCB" w:rsidRPr="000B71AF" w:rsidRDefault="00174BCB" w:rsidP="007D2110">
            <w:pPr>
              <w:autoSpaceDE w:val="0"/>
              <w:autoSpaceDN w:val="0"/>
              <w:adjustRightInd w:val="0"/>
              <w:spacing w:after="0"/>
              <w:rPr>
                <w:rFonts w:cs="Georgia"/>
                <w:color w:val="000000"/>
              </w:rPr>
            </w:pPr>
            <w:r w:rsidRPr="000B71AF">
              <w:rPr>
                <w:rFonts w:cs="Georgia"/>
                <w:color w:val="000000"/>
              </w:rPr>
              <w:t>Staff teaching community-based courses</w:t>
            </w:r>
          </w:p>
        </w:tc>
        <w:tc>
          <w:tcPr>
            <w:tcW w:w="3600" w:type="dxa"/>
            <w:gridSpan w:val="2"/>
            <w:vMerge/>
          </w:tcPr>
          <w:p w14:paraId="250551E1" w14:textId="03641AAA" w:rsidR="00174BCB" w:rsidRPr="000B71AF" w:rsidRDefault="00174BCB" w:rsidP="007D2110">
            <w:pPr>
              <w:autoSpaceDE w:val="0"/>
              <w:autoSpaceDN w:val="0"/>
              <w:adjustRightInd w:val="0"/>
              <w:spacing w:after="0"/>
              <w:jc w:val="center"/>
              <w:rPr>
                <w:rFonts w:cs="Georgia"/>
                <w:color w:val="000000"/>
              </w:rPr>
            </w:pPr>
          </w:p>
        </w:tc>
      </w:tr>
      <w:tr w:rsidR="00174BCB" w:rsidRPr="000B71AF" w14:paraId="66625A9B" w14:textId="77777777" w:rsidTr="00C07EB3">
        <w:trPr>
          <w:trHeight w:val="732"/>
        </w:trPr>
        <w:tc>
          <w:tcPr>
            <w:tcW w:w="2880" w:type="dxa"/>
          </w:tcPr>
          <w:p w14:paraId="683D3923" w14:textId="77777777" w:rsidR="00174BCB" w:rsidRDefault="00174BCB" w:rsidP="007D2110">
            <w:pPr>
              <w:autoSpaceDE w:val="0"/>
              <w:autoSpaceDN w:val="0"/>
              <w:adjustRightInd w:val="0"/>
              <w:spacing w:after="0"/>
              <w:rPr>
                <w:rFonts w:cs="Georgia"/>
                <w:color w:val="000000"/>
              </w:rPr>
            </w:pPr>
            <w:r w:rsidRPr="000B71AF">
              <w:rPr>
                <w:rFonts w:cs="Georgia"/>
                <w:color w:val="000000"/>
              </w:rPr>
              <w:t xml:space="preserve">Opportunities for students to participate in a community-engagement experience </w:t>
            </w:r>
          </w:p>
          <w:p w14:paraId="53BAD423" w14:textId="77777777" w:rsidR="00174BCB" w:rsidRPr="000B71AF" w:rsidRDefault="00174BCB" w:rsidP="007D2110">
            <w:pPr>
              <w:autoSpaceDE w:val="0"/>
              <w:autoSpaceDN w:val="0"/>
              <w:adjustRightInd w:val="0"/>
              <w:spacing w:after="0"/>
              <w:rPr>
                <w:rFonts w:cs="Georgia"/>
                <w:color w:val="000000"/>
              </w:rPr>
            </w:pPr>
          </w:p>
        </w:tc>
        <w:tc>
          <w:tcPr>
            <w:tcW w:w="3240" w:type="dxa"/>
          </w:tcPr>
          <w:p w14:paraId="41691DE8" w14:textId="77777777" w:rsidR="00174BCB" w:rsidRPr="000B71AF" w:rsidRDefault="00174BCB" w:rsidP="007D2110">
            <w:pPr>
              <w:autoSpaceDE w:val="0"/>
              <w:autoSpaceDN w:val="0"/>
              <w:adjustRightInd w:val="0"/>
              <w:spacing w:after="0"/>
              <w:rPr>
                <w:rFonts w:cs="Georgia"/>
                <w:color w:val="000000"/>
              </w:rPr>
            </w:pPr>
            <w:r w:rsidRPr="000B71AF">
              <w:rPr>
                <w:rFonts w:cs="Georgia"/>
                <w:color w:val="000000"/>
              </w:rPr>
              <w:t xml:space="preserve">Undergraduate community engagement courses </w:t>
            </w:r>
          </w:p>
        </w:tc>
        <w:tc>
          <w:tcPr>
            <w:tcW w:w="3600" w:type="dxa"/>
            <w:gridSpan w:val="2"/>
            <w:vMerge/>
          </w:tcPr>
          <w:p w14:paraId="23C8B8B2" w14:textId="7AEB8A2C" w:rsidR="00174BCB" w:rsidRPr="000B71AF" w:rsidRDefault="00174BCB" w:rsidP="007D2110">
            <w:pPr>
              <w:autoSpaceDE w:val="0"/>
              <w:autoSpaceDN w:val="0"/>
              <w:adjustRightInd w:val="0"/>
              <w:spacing w:after="0"/>
              <w:jc w:val="center"/>
              <w:rPr>
                <w:rFonts w:cs="Georgia"/>
                <w:color w:val="000000"/>
              </w:rPr>
            </w:pPr>
          </w:p>
        </w:tc>
      </w:tr>
      <w:tr w:rsidR="00174BCB" w:rsidRPr="000B71AF" w14:paraId="2BBC975F" w14:textId="77777777" w:rsidTr="00C07EB3">
        <w:trPr>
          <w:trHeight w:val="481"/>
        </w:trPr>
        <w:tc>
          <w:tcPr>
            <w:tcW w:w="2880" w:type="dxa"/>
          </w:tcPr>
          <w:p w14:paraId="0FC5D2CD" w14:textId="77777777" w:rsidR="00174BCB" w:rsidRDefault="00174BCB" w:rsidP="007D2110">
            <w:pPr>
              <w:autoSpaceDE w:val="0"/>
              <w:autoSpaceDN w:val="0"/>
              <w:adjustRightInd w:val="0"/>
              <w:spacing w:after="0"/>
              <w:rPr>
                <w:rFonts w:cs="Georgia"/>
                <w:color w:val="000000"/>
              </w:rPr>
            </w:pPr>
            <w:r w:rsidRPr="000B71AF">
              <w:rPr>
                <w:rFonts w:cs="Georgia"/>
                <w:color w:val="000000"/>
              </w:rPr>
              <w:t xml:space="preserve">Partnerships between university and community stakeholders </w:t>
            </w:r>
          </w:p>
          <w:p w14:paraId="663AD342" w14:textId="77777777" w:rsidR="00174BCB" w:rsidRPr="000B71AF" w:rsidRDefault="00174BCB" w:rsidP="007D2110">
            <w:pPr>
              <w:autoSpaceDE w:val="0"/>
              <w:autoSpaceDN w:val="0"/>
              <w:adjustRightInd w:val="0"/>
              <w:spacing w:after="0"/>
              <w:rPr>
                <w:rFonts w:cs="Georgia"/>
                <w:color w:val="000000"/>
              </w:rPr>
            </w:pPr>
          </w:p>
        </w:tc>
        <w:tc>
          <w:tcPr>
            <w:tcW w:w="3240" w:type="dxa"/>
          </w:tcPr>
          <w:p w14:paraId="79C77AD7" w14:textId="77777777" w:rsidR="00174BCB" w:rsidRPr="000B71AF" w:rsidRDefault="00174BCB" w:rsidP="007D2110">
            <w:pPr>
              <w:autoSpaceDE w:val="0"/>
              <w:autoSpaceDN w:val="0"/>
              <w:adjustRightInd w:val="0"/>
              <w:spacing w:after="0"/>
              <w:rPr>
                <w:rFonts w:cs="Georgia"/>
                <w:color w:val="000000"/>
              </w:rPr>
            </w:pPr>
            <w:r w:rsidRPr="000B71AF">
              <w:rPr>
                <w:rFonts w:cs="Georgia"/>
                <w:color w:val="000000"/>
              </w:rPr>
              <w:t xml:space="preserve">Partnerships among colleges and units </w:t>
            </w:r>
          </w:p>
        </w:tc>
        <w:tc>
          <w:tcPr>
            <w:tcW w:w="3600" w:type="dxa"/>
            <w:gridSpan w:val="2"/>
            <w:vMerge/>
          </w:tcPr>
          <w:p w14:paraId="1A9D9DD4" w14:textId="70A24624" w:rsidR="00174BCB" w:rsidRPr="000B71AF" w:rsidRDefault="00174BCB" w:rsidP="007D2110">
            <w:pPr>
              <w:autoSpaceDE w:val="0"/>
              <w:autoSpaceDN w:val="0"/>
              <w:adjustRightInd w:val="0"/>
              <w:spacing w:after="0"/>
              <w:jc w:val="center"/>
              <w:rPr>
                <w:rFonts w:cs="Georgia"/>
                <w:color w:val="000000"/>
              </w:rPr>
            </w:pPr>
          </w:p>
        </w:tc>
      </w:tr>
    </w:tbl>
    <w:p w14:paraId="7A506216" w14:textId="77777777" w:rsidR="0065476A" w:rsidRDefault="0065476A">
      <w:pPr>
        <w:rPr>
          <w:rFonts w:cs="Georgia"/>
          <w:b/>
          <w:bCs/>
          <w:color w:val="000000"/>
        </w:rPr>
      </w:pPr>
    </w:p>
    <w:p w14:paraId="0B3D5457" w14:textId="4AD94F78" w:rsidR="005E3CC8" w:rsidRPr="000B71AF" w:rsidRDefault="005E3CC8">
      <w:pPr>
        <w:rPr>
          <w:rFonts w:cs="Georgia"/>
          <w:b/>
          <w:bCs/>
          <w:color w:val="000000"/>
        </w:rPr>
      </w:pPr>
      <w:r w:rsidRPr="000B71AF">
        <w:rPr>
          <w:rFonts w:cs="Georgia"/>
          <w:b/>
          <w:bCs/>
          <w:color w:val="000000"/>
        </w:rPr>
        <w:br w:type="page"/>
      </w:r>
    </w:p>
    <w:p w14:paraId="78DCFA78" w14:textId="5081C182" w:rsidR="0095723B" w:rsidRDefault="005E3CC8" w:rsidP="0095723B">
      <w:pPr>
        <w:pStyle w:val="Heading1"/>
        <w:spacing w:after="0"/>
      </w:pPr>
      <w:r w:rsidRPr="000B71AF">
        <w:lastRenderedPageBreak/>
        <w:t>CONCLUSION</w:t>
      </w:r>
      <w:bookmarkStart w:id="0" w:name="_GoBack"/>
      <w:bookmarkEnd w:id="0"/>
    </w:p>
    <w:p w14:paraId="1CE97211" w14:textId="77777777" w:rsidR="0095723B" w:rsidRDefault="0095723B" w:rsidP="0095723B"/>
    <w:p w14:paraId="35B7B3EF" w14:textId="3E29D698" w:rsidR="00CE16BE" w:rsidRDefault="00296877" w:rsidP="00CE16BE">
      <w:pPr>
        <w:spacing w:after="0"/>
      </w:pPr>
      <w:r>
        <w:t xml:space="preserve">The College of Health Sciences </w:t>
      </w:r>
      <w:r w:rsidR="00CE16BE">
        <w:t>recognizes that improvement and advancement can only take place with careful evaluation and action</w:t>
      </w:r>
      <w:r w:rsidR="00E20401">
        <w:t>s</w:t>
      </w:r>
      <w:r w:rsidR="00CE16BE">
        <w:t xml:space="preserve"> grounded to a living strategic plan. We have a strong record of </w:t>
      </w:r>
      <w:r w:rsidR="00E20401">
        <w:t xml:space="preserve">developing and enacting strategic planning. </w:t>
      </w:r>
    </w:p>
    <w:p w14:paraId="7893B0FF" w14:textId="77777777" w:rsidR="00E20401" w:rsidRPr="005D028A" w:rsidRDefault="00E20401" w:rsidP="00CE16BE">
      <w:pPr>
        <w:spacing w:after="0"/>
      </w:pPr>
    </w:p>
    <w:p w14:paraId="189D03FF" w14:textId="42A30D8F" w:rsidR="006C4931" w:rsidRPr="00BD1E52" w:rsidRDefault="005D028A" w:rsidP="006C4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cs="Georgia"/>
          <w:bCs/>
          <w:color w:val="000000"/>
        </w:rPr>
      </w:pPr>
      <w:r w:rsidRPr="005D028A">
        <w:rPr>
          <w:rFonts w:cs="Georgia"/>
          <w:bCs/>
          <w:color w:val="000000"/>
        </w:rPr>
        <w:t xml:space="preserve">The College is composed of </w:t>
      </w:r>
      <w:r>
        <w:rPr>
          <w:rFonts w:cs="Georgia"/>
          <w:bCs/>
          <w:color w:val="000000"/>
        </w:rPr>
        <w:t>a</w:t>
      </w:r>
      <w:r w:rsidR="00CE16BE" w:rsidRPr="005D028A">
        <w:rPr>
          <w:rFonts w:cs="Georgia"/>
          <w:bCs/>
          <w:color w:val="000000"/>
        </w:rPr>
        <w:t xml:space="preserve">spiring undergraduate students </w:t>
      </w:r>
      <w:r w:rsidR="00A153F7" w:rsidRPr="005D028A">
        <w:rPr>
          <w:rFonts w:cs="Georgia"/>
          <w:bCs/>
          <w:color w:val="000000"/>
        </w:rPr>
        <w:t xml:space="preserve">who </w:t>
      </w:r>
      <w:r w:rsidR="00CE16BE" w:rsidRPr="005D028A">
        <w:rPr>
          <w:rFonts w:cs="Georgia"/>
          <w:bCs/>
          <w:color w:val="000000"/>
        </w:rPr>
        <w:t xml:space="preserve">seek a transformational education that promotes self-discovery, experiential learning, and life-long achievement. </w:t>
      </w:r>
      <w:r w:rsidR="00E20401" w:rsidRPr="005D028A">
        <w:rPr>
          <w:rFonts w:cs="Georgia"/>
          <w:bCs/>
          <w:color w:val="000000"/>
        </w:rPr>
        <w:t xml:space="preserve"> </w:t>
      </w:r>
      <w:r w:rsidR="00CE16BE" w:rsidRPr="005D028A">
        <w:rPr>
          <w:rFonts w:cs="Georgia"/>
          <w:bCs/>
          <w:color w:val="000000"/>
        </w:rPr>
        <w:t>Strengthening the quality and distinctiveness of our graduate programs to transform</w:t>
      </w:r>
      <w:r w:rsidR="00CE16BE" w:rsidRPr="00BD1E52">
        <w:rPr>
          <w:rFonts w:cs="Georgia"/>
          <w:bCs/>
          <w:color w:val="000000"/>
        </w:rPr>
        <w:t xml:space="preserve"> our students into accomplished scholars and professionals is a priority within the College.  This can only be accomplished by welcoming students</w:t>
      </w:r>
      <w:r w:rsidR="00712515">
        <w:rPr>
          <w:rFonts w:cs="Georgia"/>
          <w:bCs/>
          <w:color w:val="000000"/>
        </w:rPr>
        <w:t>,</w:t>
      </w:r>
      <w:r w:rsidR="00CE16BE" w:rsidRPr="00BD1E52">
        <w:rPr>
          <w:rFonts w:cs="Georgia"/>
          <w:bCs/>
          <w:color w:val="000000"/>
        </w:rPr>
        <w:t xml:space="preserve"> faculty</w:t>
      </w:r>
      <w:r w:rsidR="00712515">
        <w:rPr>
          <w:rFonts w:cs="Georgia"/>
          <w:bCs/>
          <w:color w:val="000000"/>
        </w:rPr>
        <w:t>,</w:t>
      </w:r>
      <w:r w:rsidR="005F475F" w:rsidRPr="00BD1E52">
        <w:rPr>
          <w:rFonts w:cs="Georgia"/>
          <w:bCs/>
          <w:color w:val="000000"/>
        </w:rPr>
        <w:t xml:space="preserve"> and staff </w:t>
      </w:r>
      <w:r w:rsidR="00CE16BE" w:rsidRPr="00BD1E52">
        <w:rPr>
          <w:rFonts w:cs="Georgia"/>
          <w:bCs/>
          <w:color w:val="000000"/>
        </w:rPr>
        <w:t>who are increasingly diverse.   Success in implementing initiatives that provide rich</w:t>
      </w:r>
      <w:r w:rsidR="00712515">
        <w:rPr>
          <w:rFonts w:cs="Georgia"/>
          <w:bCs/>
          <w:color w:val="000000"/>
        </w:rPr>
        <w:t>,</w:t>
      </w:r>
      <w:r w:rsidR="00CE16BE" w:rsidRPr="00BD1E52">
        <w:rPr>
          <w:rFonts w:cs="Georgia"/>
          <w:bCs/>
          <w:color w:val="000000"/>
        </w:rPr>
        <w:t xml:space="preserve"> diversity-related experiences for all ensure continued success in an interconnected world. </w:t>
      </w:r>
      <w:r>
        <w:rPr>
          <w:rFonts w:cs="Georgia"/>
          <w:bCs/>
          <w:color w:val="000000"/>
        </w:rPr>
        <w:br/>
      </w:r>
      <w:r>
        <w:rPr>
          <w:rFonts w:cs="Georgia"/>
          <w:bCs/>
          <w:color w:val="000000"/>
        </w:rPr>
        <w:br/>
      </w:r>
      <w:r w:rsidR="00CE16BE" w:rsidRPr="00BD1E52">
        <w:rPr>
          <w:rFonts w:cs="Georgia"/>
          <w:bCs/>
          <w:color w:val="000000"/>
        </w:rPr>
        <w:t>The process of inquiry is vital to the scienti</w:t>
      </w:r>
      <w:r>
        <w:rPr>
          <w:rFonts w:cs="Georgia"/>
          <w:bCs/>
          <w:color w:val="000000"/>
        </w:rPr>
        <w:t xml:space="preserve">fic process.  </w:t>
      </w:r>
      <w:r w:rsidR="00CE16BE" w:rsidRPr="00BD1E52">
        <w:rPr>
          <w:rFonts w:cs="Georgia"/>
          <w:bCs/>
          <w:color w:val="000000"/>
        </w:rPr>
        <w:t>Expanding</w:t>
      </w:r>
      <w:r w:rsidR="005F475F" w:rsidRPr="00BD1E52">
        <w:rPr>
          <w:rFonts w:cs="Georgia"/>
          <w:bCs/>
          <w:color w:val="000000"/>
        </w:rPr>
        <w:t xml:space="preserve"> </w:t>
      </w:r>
      <w:r w:rsidR="00CE16BE" w:rsidRPr="00BD1E52">
        <w:rPr>
          <w:rFonts w:cs="Georgia"/>
          <w:bCs/>
          <w:color w:val="000000"/>
        </w:rPr>
        <w:t>scholarship, creative endeavor</w:t>
      </w:r>
      <w:r w:rsidR="005F475F" w:rsidRPr="00BD1E52">
        <w:rPr>
          <w:rFonts w:cs="Georgia"/>
          <w:bCs/>
          <w:color w:val="000000"/>
        </w:rPr>
        <w:t>s, and research across multiple disciplines ensures that we have citizens who can lead</w:t>
      </w:r>
      <w:r w:rsidR="00712515">
        <w:rPr>
          <w:rFonts w:cs="Georgia"/>
          <w:bCs/>
          <w:color w:val="000000"/>
        </w:rPr>
        <w:t xml:space="preserve"> and</w:t>
      </w:r>
      <w:r w:rsidR="005F475F" w:rsidRPr="00BD1E52">
        <w:rPr>
          <w:rFonts w:cs="Georgia"/>
          <w:bCs/>
          <w:color w:val="000000"/>
        </w:rPr>
        <w:t xml:space="preserve"> </w:t>
      </w:r>
      <w:r w:rsidR="006C4931" w:rsidRPr="00BD1E52">
        <w:rPr>
          <w:rFonts w:cs="Georgia"/>
          <w:bCs/>
          <w:color w:val="000000"/>
        </w:rPr>
        <w:t>translate their find</w:t>
      </w:r>
      <w:r w:rsidR="009C3CE2">
        <w:rPr>
          <w:rFonts w:cs="Georgia"/>
          <w:bCs/>
          <w:color w:val="000000"/>
        </w:rPr>
        <w:t xml:space="preserve">ings </w:t>
      </w:r>
      <w:r w:rsidR="006C4931" w:rsidRPr="00BD1E52">
        <w:rPr>
          <w:rFonts w:cs="Georgia"/>
          <w:bCs/>
          <w:color w:val="000000"/>
        </w:rPr>
        <w:t>and efforts of outreach t</w:t>
      </w:r>
      <w:r w:rsidR="00FD6EC1">
        <w:rPr>
          <w:rFonts w:cs="Georgia"/>
          <w:bCs/>
          <w:color w:val="000000"/>
        </w:rPr>
        <w:t>o community engagement and beyond.</w:t>
      </w:r>
      <w:r>
        <w:rPr>
          <w:rFonts w:cs="Georgia"/>
          <w:bCs/>
          <w:color w:val="000000"/>
        </w:rPr>
        <w:t xml:space="preserve"> </w:t>
      </w:r>
      <w:r w:rsidR="006C4931" w:rsidRPr="00BD1E52">
        <w:rPr>
          <w:rFonts w:cs="Georgia"/>
          <w:bCs/>
          <w:color w:val="000000"/>
        </w:rPr>
        <w:t xml:space="preserve"> Our charge is to change the future of the Commonwealth for the better — its health, its education, it economy, its way of life. </w:t>
      </w:r>
    </w:p>
    <w:p w14:paraId="00E43980" w14:textId="069C8948" w:rsidR="0012417C" w:rsidRPr="0095723B" w:rsidRDefault="0012417C" w:rsidP="00296877">
      <w:pPr>
        <w:spacing w:after="0"/>
      </w:pPr>
    </w:p>
    <w:sectPr w:rsidR="0012417C" w:rsidRPr="0095723B" w:rsidSect="007329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82D32" w14:textId="77777777" w:rsidR="005A1B45" w:rsidRDefault="005A1B45">
      <w:r>
        <w:separator/>
      </w:r>
    </w:p>
  </w:endnote>
  <w:endnote w:type="continuationSeparator" w:id="0">
    <w:p w14:paraId="22B7E498" w14:textId="77777777" w:rsidR="005A1B45" w:rsidRDefault="005A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F95AC" w14:textId="77777777" w:rsidR="00CD40D5" w:rsidRDefault="00CD40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143C6" w14:textId="3E14257B" w:rsidR="00CD40D5" w:rsidRPr="000D6D95" w:rsidRDefault="00CD40D5" w:rsidP="000F03C2">
    <w:pPr>
      <w:pStyle w:val="Footer"/>
      <w:jc w:val="right"/>
      <w:rPr>
        <w:rFonts w:ascii="Garamond" w:hAnsi="Garamond"/>
        <w:sz w:val="20"/>
        <w:lang w:val="en-US"/>
      </w:rPr>
    </w:pPr>
    <w:r w:rsidRPr="00DA09C0">
      <w:rPr>
        <w:rFonts w:ascii="Garamond" w:hAnsi="Garamond"/>
        <w:sz w:val="20"/>
      </w:rPr>
      <w:fldChar w:fldCharType="begin"/>
    </w:r>
    <w:r w:rsidRPr="00DA09C0">
      <w:rPr>
        <w:rFonts w:ascii="Garamond" w:hAnsi="Garamond"/>
        <w:sz w:val="20"/>
      </w:rPr>
      <w:instrText xml:space="preserve"> PAGE   \* MERGEFORMAT </w:instrText>
    </w:r>
    <w:r w:rsidRPr="00DA09C0">
      <w:rPr>
        <w:rFonts w:ascii="Garamond" w:hAnsi="Garamond"/>
        <w:sz w:val="20"/>
      </w:rPr>
      <w:fldChar w:fldCharType="separate"/>
    </w:r>
    <w:r w:rsidR="001F0905">
      <w:rPr>
        <w:rFonts w:ascii="Garamond" w:hAnsi="Garamond"/>
        <w:noProof/>
        <w:sz w:val="20"/>
      </w:rPr>
      <w:t>23</w:t>
    </w:r>
    <w:r w:rsidRPr="00DA09C0">
      <w:rPr>
        <w:rFonts w:ascii="Garamond" w:hAnsi="Garamond"/>
        <w:sz w:val="20"/>
      </w:rPr>
      <w:fldChar w:fldCharType="end"/>
    </w:r>
  </w:p>
  <w:p w14:paraId="0CC1E131" w14:textId="77777777" w:rsidR="00CD40D5" w:rsidRDefault="00CD40D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F31D" w14:textId="77777777" w:rsidR="00CD40D5" w:rsidRDefault="00CD40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76644" w14:textId="77777777" w:rsidR="005A1B45" w:rsidRDefault="005A1B45">
      <w:r>
        <w:separator/>
      </w:r>
    </w:p>
  </w:footnote>
  <w:footnote w:type="continuationSeparator" w:id="0">
    <w:p w14:paraId="01D78BDD" w14:textId="77777777" w:rsidR="005A1B45" w:rsidRDefault="005A1B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05A1F" w14:textId="6BBD97BA" w:rsidR="00CD40D5" w:rsidRDefault="00CD40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3332" w14:textId="64FA272B" w:rsidR="00CD40D5" w:rsidRDefault="00CD40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36021" w14:textId="6372A51E" w:rsidR="00CD40D5" w:rsidRDefault="00CD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7D96"/>
    <w:multiLevelType w:val="hybridMultilevel"/>
    <w:tmpl w:val="B148A3C4"/>
    <w:lvl w:ilvl="0" w:tplc="08A4EFC4">
      <w:start w:val="1"/>
      <w:numFmt w:val="decimal"/>
      <w:suff w:val="space"/>
      <w:lvlText w:val="Action Step %1:"/>
      <w:lvlJc w:val="left"/>
      <w:pPr>
        <w:ind w:left="0" w:firstLine="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A0AC4"/>
    <w:multiLevelType w:val="hybridMultilevel"/>
    <w:tmpl w:val="497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C0701"/>
    <w:multiLevelType w:val="hybridMultilevel"/>
    <w:tmpl w:val="3D3814DE"/>
    <w:lvl w:ilvl="0" w:tplc="005AC1E2">
      <w:start w:val="1"/>
      <w:numFmt w:val="decimal"/>
      <w:suff w:val="space"/>
      <w:lvlText w:val="Action Step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62ABE"/>
    <w:multiLevelType w:val="hybridMultilevel"/>
    <w:tmpl w:val="CD56DADA"/>
    <w:lvl w:ilvl="0" w:tplc="7ABC06D2">
      <w:start w:val="1"/>
      <w:numFmt w:val="decimal"/>
      <w:lvlText w:val="Action Step %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F5EFB"/>
    <w:multiLevelType w:val="hybridMultilevel"/>
    <w:tmpl w:val="29FC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86270"/>
    <w:multiLevelType w:val="hybridMultilevel"/>
    <w:tmpl w:val="005E7606"/>
    <w:lvl w:ilvl="0" w:tplc="50BA5740">
      <w:start w:val="1"/>
      <w:numFmt w:val="decimal"/>
      <w:suff w:val="space"/>
      <w:lvlText w:val="Action Step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44C2C"/>
    <w:multiLevelType w:val="hybridMultilevel"/>
    <w:tmpl w:val="40B81DD6"/>
    <w:lvl w:ilvl="0" w:tplc="0486C96C">
      <w:start w:val="1"/>
      <w:numFmt w:val="decimal"/>
      <w:suff w:val="space"/>
      <w:lvlText w:val="Action Step %1:"/>
      <w:lvlJc w:val="left"/>
      <w:pPr>
        <w:ind w:left="0" w:firstLine="0"/>
      </w:pPr>
      <w:rPr>
        <w:rFonts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A46D3"/>
    <w:multiLevelType w:val="hybridMultilevel"/>
    <w:tmpl w:val="C0F65680"/>
    <w:lvl w:ilvl="0" w:tplc="DACA39E6">
      <w:start w:val="1"/>
      <w:numFmt w:val="decimal"/>
      <w:suff w:val="space"/>
      <w:lvlText w:val="Action Step %1:"/>
      <w:lvlJc w:val="left"/>
      <w:pPr>
        <w:ind w:left="0" w:firstLine="0"/>
      </w:pPr>
      <w:rPr>
        <w:rFonts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F00CF"/>
    <w:multiLevelType w:val="hybridMultilevel"/>
    <w:tmpl w:val="129AF894"/>
    <w:lvl w:ilvl="0" w:tplc="CEF62BCA">
      <w:start w:val="1"/>
      <w:numFmt w:val="decimal"/>
      <w:suff w:val="space"/>
      <w:lvlText w:val="Action Step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62E21"/>
    <w:multiLevelType w:val="hybridMultilevel"/>
    <w:tmpl w:val="2B909854"/>
    <w:lvl w:ilvl="0" w:tplc="3766BCCA">
      <w:start w:val="1"/>
      <w:numFmt w:val="decimal"/>
      <w:suff w:val="space"/>
      <w:lvlText w:val="Action Step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A7047"/>
    <w:multiLevelType w:val="hybridMultilevel"/>
    <w:tmpl w:val="9BF6A6D2"/>
    <w:lvl w:ilvl="0" w:tplc="32044066">
      <w:start w:val="1"/>
      <w:numFmt w:val="decimal"/>
      <w:suff w:val="space"/>
      <w:lvlText w:val="Action Step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641C3"/>
    <w:multiLevelType w:val="hybridMultilevel"/>
    <w:tmpl w:val="814E03DE"/>
    <w:lvl w:ilvl="0" w:tplc="9508F3EA">
      <w:start w:val="1"/>
      <w:numFmt w:val="decimal"/>
      <w:suff w:val="space"/>
      <w:lvlText w:val="Action Step %1:"/>
      <w:lvlJc w:val="left"/>
      <w:pPr>
        <w:ind w:left="0" w:firstLine="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E0E08"/>
    <w:multiLevelType w:val="hybridMultilevel"/>
    <w:tmpl w:val="FCB656CC"/>
    <w:lvl w:ilvl="0" w:tplc="306050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02035"/>
    <w:multiLevelType w:val="hybridMultilevel"/>
    <w:tmpl w:val="C3BE002A"/>
    <w:lvl w:ilvl="0" w:tplc="6CAC7E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E22EA"/>
    <w:multiLevelType w:val="hybridMultilevel"/>
    <w:tmpl w:val="89DC22C6"/>
    <w:lvl w:ilvl="0" w:tplc="306050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018F8"/>
    <w:multiLevelType w:val="hybridMultilevel"/>
    <w:tmpl w:val="FC027724"/>
    <w:lvl w:ilvl="0" w:tplc="22C07E3C">
      <w:start w:val="1"/>
      <w:numFmt w:val="decimal"/>
      <w:suff w:val="space"/>
      <w:lvlText w:val="Action Step %1:"/>
      <w:lvlJc w:val="left"/>
      <w:pPr>
        <w:ind w:left="0" w:firstLine="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203C4"/>
    <w:multiLevelType w:val="hybridMultilevel"/>
    <w:tmpl w:val="68E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A54C9"/>
    <w:multiLevelType w:val="hybridMultilevel"/>
    <w:tmpl w:val="B3A2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46DCA"/>
    <w:multiLevelType w:val="hybridMultilevel"/>
    <w:tmpl w:val="4F88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F6A16"/>
    <w:multiLevelType w:val="hybridMultilevel"/>
    <w:tmpl w:val="C642704A"/>
    <w:lvl w:ilvl="0" w:tplc="2C0AF510">
      <w:start w:val="1"/>
      <w:numFmt w:val="decimal"/>
      <w:suff w:val="space"/>
      <w:lvlText w:val="Action Step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B7BD9"/>
    <w:multiLevelType w:val="hybridMultilevel"/>
    <w:tmpl w:val="2662C5A0"/>
    <w:lvl w:ilvl="0" w:tplc="7ABC06D2">
      <w:start w:val="1"/>
      <w:numFmt w:val="decimal"/>
      <w:lvlText w:val="Action Step %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87F42"/>
    <w:multiLevelType w:val="hybridMultilevel"/>
    <w:tmpl w:val="B67E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A0D67"/>
    <w:multiLevelType w:val="hybridMultilevel"/>
    <w:tmpl w:val="9C4463CE"/>
    <w:lvl w:ilvl="0" w:tplc="6E646B8E">
      <w:start w:val="1"/>
      <w:numFmt w:val="decimal"/>
      <w:suff w:val="space"/>
      <w:lvlText w:val="Action Step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874E7"/>
    <w:multiLevelType w:val="hybridMultilevel"/>
    <w:tmpl w:val="8B1631F4"/>
    <w:lvl w:ilvl="0" w:tplc="BBE49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21A2E"/>
    <w:multiLevelType w:val="hybridMultilevel"/>
    <w:tmpl w:val="1EEA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F6375"/>
    <w:multiLevelType w:val="hybridMultilevel"/>
    <w:tmpl w:val="B37C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AA5038"/>
    <w:multiLevelType w:val="hybridMultilevel"/>
    <w:tmpl w:val="602E563A"/>
    <w:lvl w:ilvl="0" w:tplc="5898223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D5CF1"/>
    <w:multiLevelType w:val="hybridMultilevel"/>
    <w:tmpl w:val="941C5D48"/>
    <w:lvl w:ilvl="0" w:tplc="7ABC06D2">
      <w:start w:val="1"/>
      <w:numFmt w:val="decimal"/>
      <w:lvlText w:val="Action Step %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2B59A5"/>
    <w:multiLevelType w:val="hybridMultilevel"/>
    <w:tmpl w:val="AA889AB0"/>
    <w:lvl w:ilvl="0" w:tplc="F58CBBB2">
      <w:start w:val="1"/>
      <w:numFmt w:val="decimal"/>
      <w:suff w:val="space"/>
      <w:lvlText w:val="Action Step %1:"/>
      <w:lvlJc w:val="left"/>
      <w:pPr>
        <w:ind w:left="0" w:firstLine="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013333"/>
    <w:multiLevelType w:val="hybridMultilevel"/>
    <w:tmpl w:val="BDA281B2"/>
    <w:lvl w:ilvl="0" w:tplc="7ABC06D2">
      <w:start w:val="1"/>
      <w:numFmt w:val="decimal"/>
      <w:lvlText w:val="Action Step %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04AA8"/>
    <w:multiLevelType w:val="hybridMultilevel"/>
    <w:tmpl w:val="B1C435F8"/>
    <w:lvl w:ilvl="0" w:tplc="7ABC06D2">
      <w:start w:val="1"/>
      <w:numFmt w:val="decimal"/>
      <w:lvlText w:val="Action Step %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B17E24"/>
    <w:multiLevelType w:val="hybridMultilevel"/>
    <w:tmpl w:val="077C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1"/>
  </w:num>
  <w:num w:numId="4">
    <w:abstractNumId w:val="31"/>
  </w:num>
  <w:num w:numId="5">
    <w:abstractNumId w:val="13"/>
  </w:num>
  <w:num w:numId="6">
    <w:abstractNumId w:val="9"/>
  </w:num>
  <w:num w:numId="7">
    <w:abstractNumId w:val="19"/>
  </w:num>
  <w:num w:numId="8">
    <w:abstractNumId w:val="5"/>
  </w:num>
  <w:num w:numId="9">
    <w:abstractNumId w:val="2"/>
  </w:num>
  <w:num w:numId="10">
    <w:abstractNumId w:val="10"/>
  </w:num>
  <w:num w:numId="11">
    <w:abstractNumId w:val="8"/>
  </w:num>
  <w:num w:numId="12">
    <w:abstractNumId w:val="0"/>
  </w:num>
  <w:num w:numId="13">
    <w:abstractNumId w:val="6"/>
  </w:num>
  <w:num w:numId="14">
    <w:abstractNumId w:val="7"/>
  </w:num>
  <w:num w:numId="15">
    <w:abstractNumId w:val="28"/>
  </w:num>
  <w:num w:numId="16">
    <w:abstractNumId w:val="11"/>
  </w:num>
  <w:num w:numId="17">
    <w:abstractNumId w:val="30"/>
  </w:num>
  <w:num w:numId="18">
    <w:abstractNumId w:val="18"/>
  </w:num>
  <w:num w:numId="19">
    <w:abstractNumId w:val="3"/>
  </w:num>
  <w:num w:numId="20">
    <w:abstractNumId w:val="20"/>
  </w:num>
  <w:num w:numId="21">
    <w:abstractNumId w:val="15"/>
  </w:num>
  <w:num w:numId="22">
    <w:abstractNumId w:val="29"/>
  </w:num>
  <w:num w:numId="23">
    <w:abstractNumId w:val="27"/>
  </w:num>
  <w:num w:numId="24">
    <w:abstractNumId w:val="10"/>
    <w:lvlOverride w:ilvl="0">
      <w:startOverride w:val="1"/>
    </w:lvlOverride>
  </w:num>
  <w:num w:numId="25">
    <w:abstractNumId w:val="8"/>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7"/>
  </w:num>
  <w:num w:numId="43">
    <w:abstractNumId w:val="4"/>
  </w:num>
  <w:num w:numId="44">
    <w:abstractNumId w:val="16"/>
  </w:num>
  <w:num w:numId="45">
    <w:abstractNumId w:val="1"/>
  </w:num>
  <w:num w:numId="46">
    <w:abstractNumId w:val="23"/>
  </w:num>
  <w:num w:numId="47">
    <w:abstractNumId w:val="25"/>
  </w:num>
  <w:num w:numId="48">
    <w:abstractNumId w:val="26"/>
  </w:num>
  <w:num w:numId="49">
    <w:abstractNumId w:val="14"/>
  </w:num>
  <w:num w:numId="5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74"/>
    <w:rsid w:val="00001CD3"/>
    <w:rsid w:val="00005CA6"/>
    <w:rsid w:val="000101E8"/>
    <w:rsid w:val="00011E28"/>
    <w:rsid w:val="00013147"/>
    <w:rsid w:val="00014C5B"/>
    <w:rsid w:val="00014D5C"/>
    <w:rsid w:val="00022E15"/>
    <w:rsid w:val="00027D6C"/>
    <w:rsid w:val="000312CB"/>
    <w:rsid w:val="00032086"/>
    <w:rsid w:val="00032E4F"/>
    <w:rsid w:val="0003434B"/>
    <w:rsid w:val="00035509"/>
    <w:rsid w:val="000417F3"/>
    <w:rsid w:val="00051672"/>
    <w:rsid w:val="0005344A"/>
    <w:rsid w:val="000560FF"/>
    <w:rsid w:val="00057549"/>
    <w:rsid w:val="00061266"/>
    <w:rsid w:val="00071E1D"/>
    <w:rsid w:val="000804B3"/>
    <w:rsid w:val="00081CF9"/>
    <w:rsid w:val="000837BC"/>
    <w:rsid w:val="000A09AA"/>
    <w:rsid w:val="000A2256"/>
    <w:rsid w:val="000A7F17"/>
    <w:rsid w:val="000B4E08"/>
    <w:rsid w:val="000B71AF"/>
    <w:rsid w:val="000C5A60"/>
    <w:rsid w:val="000D2E45"/>
    <w:rsid w:val="000D4D56"/>
    <w:rsid w:val="000D56FA"/>
    <w:rsid w:val="000E1CF9"/>
    <w:rsid w:val="000F03C2"/>
    <w:rsid w:val="00114718"/>
    <w:rsid w:val="00120082"/>
    <w:rsid w:val="001223ED"/>
    <w:rsid w:val="001238C7"/>
    <w:rsid w:val="0012417C"/>
    <w:rsid w:val="00124385"/>
    <w:rsid w:val="00136CCF"/>
    <w:rsid w:val="00140E82"/>
    <w:rsid w:val="00160B2F"/>
    <w:rsid w:val="00170A80"/>
    <w:rsid w:val="001719F2"/>
    <w:rsid w:val="00174BCB"/>
    <w:rsid w:val="001922F9"/>
    <w:rsid w:val="00197299"/>
    <w:rsid w:val="001A0965"/>
    <w:rsid w:val="001A0E23"/>
    <w:rsid w:val="001A168F"/>
    <w:rsid w:val="001A3D99"/>
    <w:rsid w:val="001A4BB6"/>
    <w:rsid w:val="001A6D6B"/>
    <w:rsid w:val="001B50F2"/>
    <w:rsid w:val="001B61F6"/>
    <w:rsid w:val="001B7546"/>
    <w:rsid w:val="001D2A04"/>
    <w:rsid w:val="001D4108"/>
    <w:rsid w:val="001E65C3"/>
    <w:rsid w:val="001F0905"/>
    <w:rsid w:val="001F35EF"/>
    <w:rsid w:val="00213844"/>
    <w:rsid w:val="00216B75"/>
    <w:rsid w:val="002259DE"/>
    <w:rsid w:val="002300D6"/>
    <w:rsid w:val="00246909"/>
    <w:rsid w:val="00246DC2"/>
    <w:rsid w:val="0025736B"/>
    <w:rsid w:val="0029135E"/>
    <w:rsid w:val="00296877"/>
    <w:rsid w:val="002C2BB3"/>
    <w:rsid w:val="002D0497"/>
    <w:rsid w:val="002D4A26"/>
    <w:rsid w:val="002D7D6E"/>
    <w:rsid w:val="002F2F93"/>
    <w:rsid w:val="002F4E36"/>
    <w:rsid w:val="002F5909"/>
    <w:rsid w:val="00301D1C"/>
    <w:rsid w:val="003036E9"/>
    <w:rsid w:val="003114F4"/>
    <w:rsid w:val="0031554F"/>
    <w:rsid w:val="00354793"/>
    <w:rsid w:val="00357123"/>
    <w:rsid w:val="003604B7"/>
    <w:rsid w:val="0036331C"/>
    <w:rsid w:val="003748FC"/>
    <w:rsid w:val="003841D2"/>
    <w:rsid w:val="0039210F"/>
    <w:rsid w:val="003958C7"/>
    <w:rsid w:val="003A0C4D"/>
    <w:rsid w:val="003A31A9"/>
    <w:rsid w:val="003A7D59"/>
    <w:rsid w:val="003F5252"/>
    <w:rsid w:val="00405465"/>
    <w:rsid w:val="0040766E"/>
    <w:rsid w:val="004107FF"/>
    <w:rsid w:val="00412144"/>
    <w:rsid w:val="00416518"/>
    <w:rsid w:val="00423A2B"/>
    <w:rsid w:val="00424D2E"/>
    <w:rsid w:val="004364D5"/>
    <w:rsid w:val="00437D44"/>
    <w:rsid w:val="0045018F"/>
    <w:rsid w:val="00452644"/>
    <w:rsid w:val="00455F64"/>
    <w:rsid w:val="0047742C"/>
    <w:rsid w:val="004824EE"/>
    <w:rsid w:val="00484A90"/>
    <w:rsid w:val="00490481"/>
    <w:rsid w:val="004B2FD9"/>
    <w:rsid w:val="004B3722"/>
    <w:rsid w:val="004B4FA1"/>
    <w:rsid w:val="004B5339"/>
    <w:rsid w:val="004B5568"/>
    <w:rsid w:val="004B6A5B"/>
    <w:rsid w:val="004C3E6D"/>
    <w:rsid w:val="004D2DF7"/>
    <w:rsid w:val="004D5CB2"/>
    <w:rsid w:val="004D783C"/>
    <w:rsid w:val="004E26ED"/>
    <w:rsid w:val="004E4749"/>
    <w:rsid w:val="004E4D21"/>
    <w:rsid w:val="004E7CDA"/>
    <w:rsid w:val="004F04E4"/>
    <w:rsid w:val="004F0B35"/>
    <w:rsid w:val="005071EB"/>
    <w:rsid w:val="005109E1"/>
    <w:rsid w:val="00510F53"/>
    <w:rsid w:val="005131BF"/>
    <w:rsid w:val="00514373"/>
    <w:rsid w:val="00516BE6"/>
    <w:rsid w:val="005226D7"/>
    <w:rsid w:val="005336F6"/>
    <w:rsid w:val="00534502"/>
    <w:rsid w:val="00553174"/>
    <w:rsid w:val="00554CA4"/>
    <w:rsid w:val="005567F9"/>
    <w:rsid w:val="00561348"/>
    <w:rsid w:val="005615BB"/>
    <w:rsid w:val="00562BF1"/>
    <w:rsid w:val="00564E23"/>
    <w:rsid w:val="00571160"/>
    <w:rsid w:val="00573DA4"/>
    <w:rsid w:val="00574361"/>
    <w:rsid w:val="0057675C"/>
    <w:rsid w:val="00583E1A"/>
    <w:rsid w:val="00586E6E"/>
    <w:rsid w:val="00592E20"/>
    <w:rsid w:val="0059608F"/>
    <w:rsid w:val="005A1B45"/>
    <w:rsid w:val="005A1F3D"/>
    <w:rsid w:val="005A40AE"/>
    <w:rsid w:val="005B5674"/>
    <w:rsid w:val="005B7B2C"/>
    <w:rsid w:val="005C40E7"/>
    <w:rsid w:val="005D028A"/>
    <w:rsid w:val="005E2EAA"/>
    <w:rsid w:val="005E3CC8"/>
    <w:rsid w:val="005E483A"/>
    <w:rsid w:val="005F2A57"/>
    <w:rsid w:val="005F3112"/>
    <w:rsid w:val="005F475F"/>
    <w:rsid w:val="00606E94"/>
    <w:rsid w:val="00607F96"/>
    <w:rsid w:val="00611828"/>
    <w:rsid w:val="00612C5B"/>
    <w:rsid w:val="00621F10"/>
    <w:rsid w:val="00623E7F"/>
    <w:rsid w:val="00627887"/>
    <w:rsid w:val="00627B40"/>
    <w:rsid w:val="006320DB"/>
    <w:rsid w:val="00632D01"/>
    <w:rsid w:val="00634770"/>
    <w:rsid w:val="0063703F"/>
    <w:rsid w:val="0065476A"/>
    <w:rsid w:val="00656DC9"/>
    <w:rsid w:val="00661B26"/>
    <w:rsid w:val="00670FBF"/>
    <w:rsid w:val="00680CE3"/>
    <w:rsid w:val="006829C0"/>
    <w:rsid w:val="00693D93"/>
    <w:rsid w:val="006966CE"/>
    <w:rsid w:val="00697DA2"/>
    <w:rsid w:val="006A1639"/>
    <w:rsid w:val="006B6361"/>
    <w:rsid w:val="006B6809"/>
    <w:rsid w:val="006B6F56"/>
    <w:rsid w:val="006C0F3F"/>
    <w:rsid w:val="006C4931"/>
    <w:rsid w:val="006D2DF6"/>
    <w:rsid w:val="006D3A30"/>
    <w:rsid w:val="006E4636"/>
    <w:rsid w:val="006E6730"/>
    <w:rsid w:val="0070304D"/>
    <w:rsid w:val="00712515"/>
    <w:rsid w:val="007125D1"/>
    <w:rsid w:val="00714FD9"/>
    <w:rsid w:val="007177E1"/>
    <w:rsid w:val="00723277"/>
    <w:rsid w:val="0073299B"/>
    <w:rsid w:val="00743338"/>
    <w:rsid w:val="00746D1A"/>
    <w:rsid w:val="0076196C"/>
    <w:rsid w:val="00776370"/>
    <w:rsid w:val="007821F1"/>
    <w:rsid w:val="00796BC0"/>
    <w:rsid w:val="00797021"/>
    <w:rsid w:val="007B2408"/>
    <w:rsid w:val="007B43BD"/>
    <w:rsid w:val="007C57B9"/>
    <w:rsid w:val="007C6B04"/>
    <w:rsid w:val="007D2110"/>
    <w:rsid w:val="007D28FF"/>
    <w:rsid w:val="007D4F39"/>
    <w:rsid w:val="007D64CA"/>
    <w:rsid w:val="007D6D0A"/>
    <w:rsid w:val="007E4B08"/>
    <w:rsid w:val="00802D58"/>
    <w:rsid w:val="00803459"/>
    <w:rsid w:val="008057BF"/>
    <w:rsid w:val="0081566D"/>
    <w:rsid w:val="0081571A"/>
    <w:rsid w:val="00816073"/>
    <w:rsid w:val="00824166"/>
    <w:rsid w:val="008324DF"/>
    <w:rsid w:val="00835E16"/>
    <w:rsid w:val="008367A2"/>
    <w:rsid w:val="0084183C"/>
    <w:rsid w:val="00844DFD"/>
    <w:rsid w:val="0085060A"/>
    <w:rsid w:val="00855182"/>
    <w:rsid w:val="00863F5C"/>
    <w:rsid w:val="00866437"/>
    <w:rsid w:val="008674EE"/>
    <w:rsid w:val="00877624"/>
    <w:rsid w:val="00880B46"/>
    <w:rsid w:val="00881BB3"/>
    <w:rsid w:val="00882F3F"/>
    <w:rsid w:val="008A0876"/>
    <w:rsid w:val="008A135D"/>
    <w:rsid w:val="008A1CF4"/>
    <w:rsid w:val="008A64A0"/>
    <w:rsid w:val="008B1B4B"/>
    <w:rsid w:val="008B773B"/>
    <w:rsid w:val="008C3CB9"/>
    <w:rsid w:val="008C42BA"/>
    <w:rsid w:val="008C4B57"/>
    <w:rsid w:val="008D5B04"/>
    <w:rsid w:val="008D6559"/>
    <w:rsid w:val="008E5F39"/>
    <w:rsid w:val="008E5FDF"/>
    <w:rsid w:val="008F1735"/>
    <w:rsid w:val="008F2184"/>
    <w:rsid w:val="008F601C"/>
    <w:rsid w:val="008F6657"/>
    <w:rsid w:val="00911165"/>
    <w:rsid w:val="00915461"/>
    <w:rsid w:val="00920F0A"/>
    <w:rsid w:val="009301DC"/>
    <w:rsid w:val="00931948"/>
    <w:rsid w:val="00932E38"/>
    <w:rsid w:val="009507E1"/>
    <w:rsid w:val="0095723B"/>
    <w:rsid w:val="00970532"/>
    <w:rsid w:val="009934C0"/>
    <w:rsid w:val="009B1619"/>
    <w:rsid w:val="009B3311"/>
    <w:rsid w:val="009B3A8D"/>
    <w:rsid w:val="009B5572"/>
    <w:rsid w:val="009B7425"/>
    <w:rsid w:val="009C3CE2"/>
    <w:rsid w:val="009C48BA"/>
    <w:rsid w:val="00A00DDE"/>
    <w:rsid w:val="00A013C6"/>
    <w:rsid w:val="00A036AA"/>
    <w:rsid w:val="00A13217"/>
    <w:rsid w:val="00A153F7"/>
    <w:rsid w:val="00A200C3"/>
    <w:rsid w:val="00A24717"/>
    <w:rsid w:val="00A311CB"/>
    <w:rsid w:val="00A34E8B"/>
    <w:rsid w:val="00A351D6"/>
    <w:rsid w:val="00A425A9"/>
    <w:rsid w:val="00A5257B"/>
    <w:rsid w:val="00A5398E"/>
    <w:rsid w:val="00A56100"/>
    <w:rsid w:val="00A60D10"/>
    <w:rsid w:val="00A612C3"/>
    <w:rsid w:val="00A66BCB"/>
    <w:rsid w:val="00A75C4A"/>
    <w:rsid w:val="00A81037"/>
    <w:rsid w:val="00A81CD3"/>
    <w:rsid w:val="00A90A93"/>
    <w:rsid w:val="00A91FCE"/>
    <w:rsid w:val="00A92614"/>
    <w:rsid w:val="00A9763E"/>
    <w:rsid w:val="00AA0151"/>
    <w:rsid w:val="00AA1066"/>
    <w:rsid w:val="00AA1A7E"/>
    <w:rsid w:val="00AA28C5"/>
    <w:rsid w:val="00AB15FE"/>
    <w:rsid w:val="00AD1104"/>
    <w:rsid w:val="00AE1844"/>
    <w:rsid w:val="00AE30D4"/>
    <w:rsid w:val="00AE6A4B"/>
    <w:rsid w:val="00AF5D03"/>
    <w:rsid w:val="00AF615F"/>
    <w:rsid w:val="00B06A09"/>
    <w:rsid w:val="00B138D4"/>
    <w:rsid w:val="00B34717"/>
    <w:rsid w:val="00B413A4"/>
    <w:rsid w:val="00B45552"/>
    <w:rsid w:val="00B558A2"/>
    <w:rsid w:val="00B6103D"/>
    <w:rsid w:val="00B61FC5"/>
    <w:rsid w:val="00B636AF"/>
    <w:rsid w:val="00B7138D"/>
    <w:rsid w:val="00B74B11"/>
    <w:rsid w:val="00B8589C"/>
    <w:rsid w:val="00BA219B"/>
    <w:rsid w:val="00BA4530"/>
    <w:rsid w:val="00BA7FF2"/>
    <w:rsid w:val="00BB7582"/>
    <w:rsid w:val="00BC0B91"/>
    <w:rsid w:val="00BC2025"/>
    <w:rsid w:val="00BC7724"/>
    <w:rsid w:val="00BD1E52"/>
    <w:rsid w:val="00BD5922"/>
    <w:rsid w:val="00BE28D6"/>
    <w:rsid w:val="00BE6C24"/>
    <w:rsid w:val="00BE7E9B"/>
    <w:rsid w:val="00C01F36"/>
    <w:rsid w:val="00C07EB3"/>
    <w:rsid w:val="00C10F55"/>
    <w:rsid w:val="00C11745"/>
    <w:rsid w:val="00C126B7"/>
    <w:rsid w:val="00C20418"/>
    <w:rsid w:val="00C23C12"/>
    <w:rsid w:val="00C25791"/>
    <w:rsid w:val="00C25BEA"/>
    <w:rsid w:val="00C27F87"/>
    <w:rsid w:val="00C33765"/>
    <w:rsid w:val="00C35583"/>
    <w:rsid w:val="00C4010C"/>
    <w:rsid w:val="00C42F20"/>
    <w:rsid w:val="00C51656"/>
    <w:rsid w:val="00C532F9"/>
    <w:rsid w:val="00C56BDB"/>
    <w:rsid w:val="00C63705"/>
    <w:rsid w:val="00C63D44"/>
    <w:rsid w:val="00C74ED0"/>
    <w:rsid w:val="00C82F22"/>
    <w:rsid w:val="00C83854"/>
    <w:rsid w:val="00CC0976"/>
    <w:rsid w:val="00CC56F2"/>
    <w:rsid w:val="00CC6FCE"/>
    <w:rsid w:val="00CD1396"/>
    <w:rsid w:val="00CD30B3"/>
    <w:rsid w:val="00CD365C"/>
    <w:rsid w:val="00CD40D5"/>
    <w:rsid w:val="00CD588F"/>
    <w:rsid w:val="00CE16BE"/>
    <w:rsid w:val="00CE34B3"/>
    <w:rsid w:val="00CE51C1"/>
    <w:rsid w:val="00CF79FA"/>
    <w:rsid w:val="00CF7D7D"/>
    <w:rsid w:val="00D00F29"/>
    <w:rsid w:val="00D03125"/>
    <w:rsid w:val="00D116AF"/>
    <w:rsid w:val="00D1184A"/>
    <w:rsid w:val="00D15BDC"/>
    <w:rsid w:val="00D234E0"/>
    <w:rsid w:val="00D3254A"/>
    <w:rsid w:val="00D35F31"/>
    <w:rsid w:val="00D37930"/>
    <w:rsid w:val="00D37AD1"/>
    <w:rsid w:val="00D44F9E"/>
    <w:rsid w:val="00D45056"/>
    <w:rsid w:val="00D45EE7"/>
    <w:rsid w:val="00D47863"/>
    <w:rsid w:val="00D47D94"/>
    <w:rsid w:val="00D53DA3"/>
    <w:rsid w:val="00D563D5"/>
    <w:rsid w:val="00D6271A"/>
    <w:rsid w:val="00D707EB"/>
    <w:rsid w:val="00D70D3C"/>
    <w:rsid w:val="00D738BC"/>
    <w:rsid w:val="00D74347"/>
    <w:rsid w:val="00D85343"/>
    <w:rsid w:val="00D877D8"/>
    <w:rsid w:val="00DA18B5"/>
    <w:rsid w:val="00DB13AA"/>
    <w:rsid w:val="00DB70ED"/>
    <w:rsid w:val="00DD45D9"/>
    <w:rsid w:val="00DD5A42"/>
    <w:rsid w:val="00DF2249"/>
    <w:rsid w:val="00E079BA"/>
    <w:rsid w:val="00E07DEE"/>
    <w:rsid w:val="00E12551"/>
    <w:rsid w:val="00E12931"/>
    <w:rsid w:val="00E20401"/>
    <w:rsid w:val="00E20806"/>
    <w:rsid w:val="00E2146C"/>
    <w:rsid w:val="00E22BB7"/>
    <w:rsid w:val="00E2388C"/>
    <w:rsid w:val="00E25EAA"/>
    <w:rsid w:val="00E323B3"/>
    <w:rsid w:val="00E34CF2"/>
    <w:rsid w:val="00E77B0A"/>
    <w:rsid w:val="00E829F3"/>
    <w:rsid w:val="00E902AA"/>
    <w:rsid w:val="00E94B00"/>
    <w:rsid w:val="00E96866"/>
    <w:rsid w:val="00E96922"/>
    <w:rsid w:val="00EB2921"/>
    <w:rsid w:val="00EC05A5"/>
    <w:rsid w:val="00EC44D3"/>
    <w:rsid w:val="00EC728E"/>
    <w:rsid w:val="00ED39FE"/>
    <w:rsid w:val="00EE0442"/>
    <w:rsid w:val="00EE1D5F"/>
    <w:rsid w:val="00EF11DD"/>
    <w:rsid w:val="00F00F04"/>
    <w:rsid w:val="00F02E5E"/>
    <w:rsid w:val="00F078E9"/>
    <w:rsid w:val="00F20355"/>
    <w:rsid w:val="00F316D0"/>
    <w:rsid w:val="00F32BC1"/>
    <w:rsid w:val="00F42EAE"/>
    <w:rsid w:val="00F43527"/>
    <w:rsid w:val="00F44A52"/>
    <w:rsid w:val="00F4626F"/>
    <w:rsid w:val="00F5270B"/>
    <w:rsid w:val="00F56042"/>
    <w:rsid w:val="00F57F1F"/>
    <w:rsid w:val="00F635E4"/>
    <w:rsid w:val="00F739DB"/>
    <w:rsid w:val="00F82A7C"/>
    <w:rsid w:val="00F8605D"/>
    <w:rsid w:val="00F90E30"/>
    <w:rsid w:val="00F94F4F"/>
    <w:rsid w:val="00FA1AF7"/>
    <w:rsid w:val="00FA6FB8"/>
    <w:rsid w:val="00FB398E"/>
    <w:rsid w:val="00FB5703"/>
    <w:rsid w:val="00FD351E"/>
    <w:rsid w:val="00FD41FA"/>
    <w:rsid w:val="00FD6B98"/>
    <w:rsid w:val="00FD6EC1"/>
    <w:rsid w:val="00FD7886"/>
    <w:rsid w:val="00FD7B7F"/>
    <w:rsid w:val="00FE006B"/>
    <w:rsid w:val="00FE050D"/>
    <w:rsid w:val="00FE1C4A"/>
    <w:rsid w:val="00FF4A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B0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44A"/>
    <w:pPr>
      <w:spacing w:after="120"/>
    </w:pPr>
    <w:rPr>
      <w:rFonts w:ascii="Georgia" w:hAnsi="Georgia"/>
    </w:rPr>
  </w:style>
  <w:style w:type="paragraph" w:styleId="Heading1">
    <w:name w:val="heading 1"/>
    <w:basedOn w:val="Normal"/>
    <w:next w:val="Normal"/>
    <w:link w:val="Heading1Char"/>
    <w:uiPriority w:val="9"/>
    <w:qFormat/>
    <w:rsid w:val="0005344A"/>
    <w:pPr>
      <w:keepNext/>
      <w:keepLines/>
      <w:numPr>
        <w:numId w:val="5"/>
      </w:numPr>
      <w:spacing w:after="360"/>
      <w:jc w:val="center"/>
      <w:outlineLvl w:val="0"/>
    </w:pPr>
    <w:rPr>
      <w:rFonts w:eastAsiaTheme="majorEastAsia" w:cstheme="majorBidi"/>
      <w:b/>
      <w:sz w:val="32"/>
      <w:szCs w:val="32"/>
      <w:u w:val="single"/>
    </w:rPr>
  </w:style>
  <w:style w:type="paragraph" w:styleId="Heading2">
    <w:name w:val="heading 2"/>
    <w:basedOn w:val="Normal"/>
    <w:next w:val="Normal"/>
    <w:link w:val="Heading2Char"/>
    <w:autoRedefine/>
    <w:uiPriority w:val="9"/>
    <w:unhideWhenUsed/>
    <w:qFormat/>
    <w:rsid w:val="002C2BB3"/>
    <w:pPr>
      <w:keepNext/>
      <w:keepLines/>
      <w:spacing w:before="240" w:after="60"/>
      <w:outlineLvl w:val="1"/>
    </w:pPr>
    <w:rPr>
      <w:rFonts w:eastAsiaTheme="majorEastAsia" w:cstheme="majorBidi"/>
      <w:b/>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Option 1"/>
    <w:basedOn w:val="Normal"/>
    <w:autoRedefine/>
    <w:uiPriority w:val="34"/>
    <w:qFormat/>
    <w:rsid w:val="00E34CF2"/>
    <w:pPr>
      <w:numPr>
        <w:numId w:val="48"/>
      </w:numPr>
      <w:tabs>
        <w:tab w:val="left" w:pos="1"/>
      </w:tabs>
      <w:spacing w:after="0"/>
      <w:ind w:left="345" w:hanging="187"/>
    </w:pPr>
    <w:rPr>
      <w:rFonts w:eastAsia="Times New Roman" w:cs="Times New Roman"/>
    </w:rPr>
  </w:style>
  <w:style w:type="table" w:styleId="TableGrid">
    <w:name w:val="Table Grid"/>
    <w:basedOn w:val="TableNormal"/>
    <w:uiPriority w:val="39"/>
    <w:rsid w:val="00D4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E483A"/>
    <w:pPr>
      <w:tabs>
        <w:tab w:val="center" w:pos="4680"/>
        <w:tab w:val="right" w:pos="9360"/>
      </w:tabs>
      <w:spacing w:after="200" w:line="276" w:lineRule="auto"/>
    </w:pPr>
    <w:rPr>
      <w:rFonts w:ascii="Calibri" w:eastAsia="Calibri" w:hAnsi="Calibri" w:cs="Times New Roman"/>
      <w:sz w:val="22"/>
      <w:szCs w:val="22"/>
      <w:lang w:val="x-none" w:eastAsia="x-none"/>
    </w:rPr>
  </w:style>
  <w:style w:type="character" w:customStyle="1" w:styleId="FooterChar">
    <w:name w:val="Footer Char"/>
    <w:basedOn w:val="DefaultParagraphFont"/>
    <w:link w:val="Footer"/>
    <w:uiPriority w:val="99"/>
    <w:rsid w:val="005E483A"/>
    <w:rPr>
      <w:rFonts w:ascii="Calibri" w:eastAsia="Calibri" w:hAnsi="Calibri" w:cs="Times New Roman"/>
      <w:sz w:val="22"/>
      <w:szCs w:val="22"/>
      <w:lang w:val="x-none" w:eastAsia="x-none"/>
    </w:rPr>
  </w:style>
  <w:style w:type="paragraph" w:customStyle="1" w:styleId="Subheading">
    <w:name w:val="Subheading"/>
    <w:basedOn w:val="Normal"/>
    <w:link w:val="SubheadingChar"/>
    <w:qFormat/>
    <w:rsid w:val="005E483A"/>
    <w:pPr>
      <w:autoSpaceDE w:val="0"/>
      <w:autoSpaceDN w:val="0"/>
      <w:adjustRightInd w:val="0"/>
    </w:pPr>
    <w:rPr>
      <w:rFonts w:ascii="Cambria" w:eastAsia="Times New Roman" w:hAnsi="Cambria" w:cs="Arial"/>
      <w:b/>
      <w:color w:val="0070C0"/>
      <w:sz w:val="28"/>
      <w:szCs w:val="28"/>
    </w:rPr>
  </w:style>
  <w:style w:type="character" w:customStyle="1" w:styleId="SubheadingChar">
    <w:name w:val="Subheading Char"/>
    <w:basedOn w:val="DefaultParagraphFont"/>
    <w:link w:val="Subheading"/>
    <w:rsid w:val="005E483A"/>
    <w:rPr>
      <w:rFonts w:ascii="Cambria" w:eastAsia="Times New Roman" w:hAnsi="Cambria" w:cs="Arial"/>
      <w:b/>
      <w:color w:val="0070C0"/>
      <w:sz w:val="28"/>
      <w:szCs w:val="28"/>
    </w:rPr>
  </w:style>
  <w:style w:type="paragraph" w:customStyle="1" w:styleId="Default">
    <w:name w:val="Default"/>
    <w:rsid w:val="005E483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5E483A"/>
    <w:rPr>
      <w:sz w:val="16"/>
      <w:szCs w:val="16"/>
    </w:rPr>
  </w:style>
  <w:style w:type="paragraph" w:styleId="CommentText">
    <w:name w:val="annotation text"/>
    <w:basedOn w:val="Normal"/>
    <w:link w:val="CommentTextChar"/>
    <w:uiPriority w:val="99"/>
    <w:unhideWhenUsed/>
    <w:rsid w:val="005E483A"/>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E483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E48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83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81CF9"/>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1CF9"/>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05344A"/>
    <w:rPr>
      <w:rFonts w:ascii="Georgia" w:eastAsiaTheme="majorEastAsia" w:hAnsi="Georgia" w:cstheme="majorBidi"/>
      <w:b/>
      <w:sz w:val="32"/>
      <w:szCs w:val="32"/>
      <w:u w:val="single"/>
    </w:rPr>
  </w:style>
  <w:style w:type="character" w:customStyle="1" w:styleId="Heading2Char">
    <w:name w:val="Heading 2 Char"/>
    <w:basedOn w:val="DefaultParagraphFont"/>
    <w:link w:val="Heading2"/>
    <w:uiPriority w:val="9"/>
    <w:rsid w:val="002C2BB3"/>
    <w:rPr>
      <w:rFonts w:ascii="Georgia" w:eastAsiaTheme="majorEastAsia" w:hAnsi="Georgia" w:cstheme="majorBidi"/>
      <w:b/>
      <w:sz w:val="32"/>
      <w:szCs w:val="26"/>
      <w:u w:val="single"/>
    </w:rPr>
  </w:style>
  <w:style w:type="paragraph" w:customStyle="1" w:styleId="Heading3a">
    <w:name w:val="Heading 3a"/>
    <w:basedOn w:val="Normal"/>
    <w:link w:val="Heading3aChar"/>
    <w:autoRedefine/>
    <w:qFormat/>
    <w:rsid w:val="00E12931"/>
    <w:pPr>
      <w:widowControl w:val="0"/>
      <w:autoSpaceDE w:val="0"/>
      <w:autoSpaceDN w:val="0"/>
      <w:adjustRightInd w:val="0"/>
      <w:spacing w:before="360" w:after="240" w:line="340" w:lineRule="atLeast"/>
    </w:pPr>
    <w:rPr>
      <w:rFonts w:eastAsia="Times New Roman" w:cs="Times New Roman"/>
      <w:b/>
      <w:i/>
    </w:rPr>
  </w:style>
  <w:style w:type="paragraph" w:customStyle="1" w:styleId="Heading4a">
    <w:name w:val="Heading 4a"/>
    <w:basedOn w:val="Normal"/>
    <w:link w:val="Heading4aChar"/>
    <w:autoRedefine/>
    <w:qFormat/>
    <w:rsid w:val="00E12931"/>
    <w:pPr>
      <w:spacing w:before="120" w:after="240"/>
    </w:pPr>
    <w:rPr>
      <w:rFonts w:eastAsia="Times New Roman" w:cs="Times New Roman"/>
      <w:b/>
    </w:rPr>
  </w:style>
  <w:style w:type="character" w:customStyle="1" w:styleId="Heading3aChar">
    <w:name w:val="Heading 3a Char"/>
    <w:basedOn w:val="DefaultParagraphFont"/>
    <w:link w:val="Heading3a"/>
    <w:rsid w:val="00E12931"/>
    <w:rPr>
      <w:rFonts w:ascii="Georgia" w:eastAsia="Times New Roman" w:hAnsi="Georgia" w:cs="Times New Roman"/>
      <w:b/>
      <w:i/>
    </w:rPr>
  </w:style>
  <w:style w:type="table" w:customStyle="1" w:styleId="Style1">
    <w:name w:val="Style1"/>
    <w:basedOn w:val="TableNormal"/>
    <w:uiPriority w:val="99"/>
    <w:rsid w:val="00416518"/>
    <w:rPr>
      <w:rFonts w:ascii="Georgia" w:hAnsi="Georgia"/>
    </w:rPr>
    <w:tblPr>
      <w:tblInd w:w="0" w:type="dxa"/>
      <w:tblBorders>
        <w:bottom w:val="single" w:sz="2" w:space="0" w:color="5B9BD5" w:themeColor="accent1"/>
        <w:insideH w:val="single" w:sz="2" w:space="0" w:color="5B9BD5" w:themeColor="accent1"/>
      </w:tblBorders>
      <w:tblCellMar>
        <w:top w:w="0" w:type="dxa"/>
        <w:left w:w="108" w:type="dxa"/>
        <w:bottom w:w="0" w:type="dxa"/>
        <w:right w:w="108" w:type="dxa"/>
      </w:tblCellMar>
    </w:tblPr>
    <w:tblStylePr w:type="firstRow">
      <w:rPr>
        <w:rFonts w:ascii="Georgia" w:hAnsi="Georgia"/>
        <w:sz w:val="24"/>
      </w:rPr>
    </w:tblStylePr>
  </w:style>
  <w:style w:type="character" w:customStyle="1" w:styleId="Heading4aChar">
    <w:name w:val="Heading 4a Char"/>
    <w:basedOn w:val="DefaultParagraphFont"/>
    <w:link w:val="Heading4a"/>
    <w:rsid w:val="00E12931"/>
    <w:rPr>
      <w:rFonts w:ascii="Georgia" w:eastAsia="Times New Roman" w:hAnsi="Georgia" w:cs="Times New Roman"/>
      <w:b/>
    </w:rPr>
  </w:style>
  <w:style w:type="table" w:customStyle="1" w:styleId="Style2">
    <w:name w:val="Style2"/>
    <w:basedOn w:val="TableNormal"/>
    <w:uiPriority w:val="99"/>
    <w:rsid w:val="006C0F3F"/>
    <w:tblPr>
      <w:tblInd w:w="0" w:type="dxa"/>
      <w:tblCellMar>
        <w:top w:w="0" w:type="dxa"/>
        <w:left w:w="108" w:type="dxa"/>
        <w:bottom w:w="0" w:type="dxa"/>
        <w:right w:w="108" w:type="dxa"/>
      </w:tblCellMar>
    </w:tblPr>
  </w:style>
  <w:style w:type="table" w:styleId="PlainTable4">
    <w:name w:val="Plain Table 4"/>
    <w:basedOn w:val="TableNormal"/>
    <w:uiPriority w:val="44"/>
    <w:rsid w:val="00022E1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D2E4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E6A4B"/>
    <w:rPr>
      <w:color w:val="0563C1" w:themeColor="hyperlink"/>
      <w:u w:val="single"/>
    </w:rPr>
  </w:style>
  <w:style w:type="character" w:styleId="FollowedHyperlink">
    <w:name w:val="FollowedHyperlink"/>
    <w:basedOn w:val="DefaultParagraphFont"/>
    <w:uiPriority w:val="99"/>
    <w:semiHidden/>
    <w:unhideWhenUsed/>
    <w:rsid w:val="008E5FDF"/>
    <w:rPr>
      <w:color w:val="954F72" w:themeColor="followedHyperlink"/>
      <w:u w:val="single"/>
    </w:rPr>
  </w:style>
  <w:style w:type="paragraph" w:styleId="Header">
    <w:name w:val="header"/>
    <w:basedOn w:val="Normal"/>
    <w:link w:val="HeaderChar"/>
    <w:uiPriority w:val="99"/>
    <w:unhideWhenUsed/>
    <w:rsid w:val="008E5FDF"/>
    <w:pPr>
      <w:tabs>
        <w:tab w:val="center" w:pos="4680"/>
        <w:tab w:val="right" w:pos="9360"/>
      </w:tabs>
      <w:spacing w:after="0"/>
    </w:pPr>
  </w:style>
  <w:style w:type="character" w:customStyle="1" w:styleId="HeaderChar">
    <w:name w:val="Header Char"/>
    <w:basedOn w:val="DefaultParagraphFont"/>
    <w:link w:val="Header"/>
    <w:uiPriority w:val="99"/>
    <w:rsid w:val="008E5FDF"/>
    <w:rPr>
      <w:rFonts w:ascii="Georgia" w:hAnsi="Georgia"/>
    </w:rPr>
  </w:style>
  <w:style w:type="paragraph" w:styleId="NormalWeb">
    <w:name w:val="Normal (Web)"/>
    <w:basedOn w:val="Normal"/>
    <w:uiPriority w:val="99"/>
    <w:semiHidden/>
    <w:unhideWhenUsed/>
    <w:rsid w:val="002D7D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871">
      <w:bodyDiv w:val="1"/>
      <w:marLeft w:val="0"/>
      <w:marRight w:val="0"/>
      <w:marTop w:val="0"/>
      <w:marBottom w:val="0"/>
      <w:divBdr>
        <w:top w:val="none" w:sz="0" w:space="0" w:color="auto"/>
        <w:left w:val="none" w:sz="0" w:space="0" w:color="auto"/>
        <w:bottom w:val="none" w:sz="0" w:space="0" w:color="auto"/>
        <w:right w:val="none" w:sz="0" w:space="0" w:color="auto"/>
      </w:divBdr>
    </w:div>
    <w:div w:id="442724498">
      <w:bodyDiv w:val="1"/>
      <w:marLeft w:val="0"/>
      <w:marRight w:val="0"/>
      <w:marTop w:val="0"/>
      <w:marBottom w:val="0"/>
      <w:divBdr>
        <w:top w:val="none" w:sz="0" w:space="0" w:color="auto"/>
        <w:left w:val="none" w:sz="0" w:space="0" w:color="auto"/>
        <w:bottom w:val="none" w:sz="0" w:space="0" w:color="auto"/>
        <w:right w:val="none" w:sz="0" w:space="0" w:color="auto"/>
      </w:divBdr>
    </w:div>
    <w:div w:id="781539022">
      <w:bodyDiv w:val="1"/>
      <w:marLeft w:val="0"/>
      <w:marRight w:val="0"/>
      <w:marTop w:val="0"/>
      <w:marBottom w:val="0"/>
      <w:divBdr>
        <w:top w:val="none" w:sz="0" w:space="0" w:color="auto"/>
        <w:left w:val="none" w:sz="0" w:space="0" w:color="auto"/>
        <w:bottom w:val="none" w:sz="0" w:space="0" w:color="auto"/>
        <w:right w:val="none" w:sz="0" w:space="0" w:color="auto"/>
      </w:divBdr>
    </w:div>
    <w:div w:id="1032026919">
      <w:bodyDiv w:val="1"/>
      <w:marLeft w:val="0"/>
      <w:marRight w:val="0"/>
      <w:marTop w:val="0"/>
      <w:marBottom w:val="0"/>
      <w:divBdr>
        <w:top w:val="none" w:sz="0" w:space="0" w:color="auto"/>
        <w:left w:val="none" w:sz="0" w:space="0" w:color="auto"/>
        <w:bottom w:val="none" w:sz="0" w:space="0" w:color="auto"/>
        <w:right w:val="none" w:sz="0" w:space="0" w:color="auto"/>
      </w:divBdr>
    </w:div>
    <w:div w:id="1341274980">
      <w:bodyDiv w:val="1"/>
      <w:marLeft w:val="0"/>
      <w:marRight w:val="0"/>
      <w:marTop w:val="0"/>
      <w:marBottom w:val="0"/>
      <w:divBdr>
        <w:top w:val="none" w:sz="0" w:space="0" w:color="auto"/>
        <w:left w:val="none" w:sz="0" w:space="0" w:color="auto"/>
        <w:bottom w:val="none" w:sz="0" w:space="0" w:color="auto"/>
        <w:right w:val="none" w:sz="0" w:space="0" w:color="auto"/>
      </w:divBdr>
    </w:div>
    <w:div w:id="1353804001">
      <w:bodyDiv w:val="1"/>
      <w:marLeft w:val="0"/>
      <w:marRight w:val="0"/>
      <w:marTop w:val="0"/>
      <w:marBottom w:val="0"/>
      <w:divBdr>
        <w:top w:val="none" w:sz="0" w:space="0" w:color="auto"/>
        <w:left w:val="none" w:sz="0" w:space="0" w:color="auto"/>
        <w:bottom w:val="none" w:sz="0" w:space="0" w:color="auto"/>
        <w:right w:val="none" w:sz="0" w:space="0" w:color="auto"/>
      </w:divBdr>
    </w:div>
    <w:div w:id="1921014487">
      <w:bodyDiv w:val="1"/>
      <w:marLeft w:val="0"/>
      <w:marRight w:val="0"/>
      <w:marTop w:val="0"/>
      <w:marBottom w:val="0"/>
      <w:divBdr>
        <w:top w:val="none" w:sz="0" w:space="0" w:color="auto"/>
        <w:left w:val="none" w:sz="0" w:space="0" w:color="auto"/>
        <w:bottom w:val="none" w:sz="0" w:space="0" w:color="auto"/>
        <w:right w:val="none" w:sz="0" w:space="0" w:color="auto"/>
      </w:divBdr>
    </w:div>
    <w:div w:id="2030448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ky.edu/healthsciences/about-us/college-history)"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526ECF-2AE3-0F43-BBF4-B1BE6C93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4441</Words>
  <Characters>25314</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Mattacola</dc:creator>
  <cp:keywords/>
  <dc:description/>
  <cp:lastModifiedBy>Carl Mattacola</cp:lastModifiedBy>
  <cp:revision>3</cp:revision>
  <cp:lastPrinted>2016-09-20T17:21:00Z</cp:lastPrinted>
  <dcterms:created xsi:type="dcterms:W3CDTF">2016-09-21T18:37:00Z</dcterms:created>
  <dcterms:modified xsi:type="dcterms:W3CDTF">2016-09-21T18:45:00Z</dcterms:modified>
</cp:coreProperties>
</file>