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0D" w:rsidRPr="007D6C1A" w:rsidRDefault="003353A7" w:rsidP="00CD473F">
      <w:pPr>
        <w:pStyle w:val="ListParagraph"/>
        <w:spacing w:after="120"/>
        <w:ind w:left="0"/>
        <w:contextualSpacing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-723900</wp:posOffset>
            </wp:positionV>
            <wp:extent cx="1133475" cy="552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89" w:rsidRPr="007D6C1A">
        <w:rPr>
          <w:rFonts w:ascii="Arial" w:hAnsi="Arial" w:cs="Arial"/>
          <w:b/>
          <w:sz w:val="28"/>
          <w:szCs w:val="28"/>
          <w:u w:val="single"/>
        </w:rPr>
        <w:t>Day 1</w:t>
      </w:r>
      <w:r w:rsidR="00F50A0D" w:rsidRPr="007D6C1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50A0D" w:rsidRPr="004A041D" w:rsidRDefault="00F50A0D" w:rsidP="004A041D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450BE5">
        <w:rPr>
          <w:rFonts w:ascii="Arial" w:hAnsi="Arial" w:cs="Arial"/>
        </w:rPr>
        <w:t>Section muscle tissue at</w:t>
      </w:r>
      <w:r w:rsidR="00C160B0" w:rsidRPr="00450BE5">
        <w:rPr>
          <w:rFonts w:ascii="Arial" w:hAnsi="Arial" w:cs="Arial"/>
        </w:rPr>
        <w:t xml:space="preserve"> 7</w:t>
      </w:r>
      <w:r w:rsidR="00132502" w:rsidRPr="00450BE5">
        <w:rPr>
          <w:rFonts w:ascii="Arial" w:hAnsi="Arial" w:cs="Arial"/>
        </w:rPr>
        <w:t xml:space="preserve"> </w:t>
      </w:r>
      <w:r w:rsidR="00C160B0" w:rsidRPr="00450BE5">
        <w:rPr>
          <w:rFonts w:ascii="Arial" w:hAnsi="Arial" w:cs="Arial"/>
        </w:rPr>
        <w:t xml:space="preserve">µm </w:t>
      </w:r>
      <w:r w:rsidRPr="00450BE5">
        <w:rPr>
          <w:rFonts w:ascii="Arial" w:hAnsi="Arial" w:cs="Arial"/>
        </w:rPr>
        <w:t>and allow</w:t>
      </w:r>
      <w:r w:rsidR="00C160B0" w:rsidRPr="00450BE5">
        <w:rPr>
          <w:rFonts w:ascii="Arial" w:hAnsi="Arial" w:cs="Arial"/>
        </w:rPr>
        <w:t xml:space="preserve"> to </w:t>
      </w:r>
      <w:r w:rsidR="006F7FFD" w:rsidRPr="00450BE5">
        <w:rPr>
          <w:rFonts w:ascii="Arial" w:hAnsi="Arial" w:cs="Arial"/>
        </w:rPr>
        <w:t xml:space="preserve">dry for </w:t>
      </w:r>
      <w:r w:rsidR="0095042E" w:rsidRPr="00450BE5">
        <w:rPr>
          <w:rFonts w:ascii="Arial" w:hAnsi="Arial" w:cs="Arial"/>
        </w:rPr>
        <w:t xml:space="preserve">3-4 </w:t>
      </w:r>
      <w:r w:rsidR="004A041D">
        <w:rPr>
          <w:rFonts w:ascii="Arial" w:hAnsi="Arial" w:cs="Arial"/>
        </w:rPr>
        <w:t>hours (</w:t>
      </w:r>
      <w:proofErr w:type="spellStart"/>
      <w:r w:rsidR="0095042E" w:rsidRPr="00450BE5">
        <w:rPr>
          <w:rFonts w:ascii="Arial" w:hAnsi="Arial" w:cs="Arial"/>
        </w:rPr>
        <w:t>hrs</w:t>
      </w:r>
      <w:proofErr w:type="spellEnd"/>
      <w:r w:rsidR="004A041D">
        <w:rPr>
          <w:rFonts w:ascii="Arial" w:hAnsi="Arial" w:cs="Arial"/>
        </w:rPr>
        <w:t>)</w:t>
      </w:r>
      <w:r w:rsidR="006F7FFD" w:rsidRPr="00450BE5">
        <w:rPr>
          <w:rFonts w:ascii="Arial" w:hAnsi="Arial" w:cs="Arial"/>
        </w:rPr>
        <w:t xml:space="preserve"> at </w:t>
      </w:r>
      <w:r w:rsidR="0095042E" w:rsidRPr="00450BE5">
        <w:rPr>
          <w:rFonts w:ascii="Arial" w:hAnsi="Arial" w:cs="Arial"/>
        </w:rPr>
        <w:t>room temperature (</w:t>
      </w:r>
      <w:r w:rsidR="006F7FFD" w:rsidRPr="00450BE5">
        <w:rPr>
          <w:rFonts w:ascii="Arial" w:hAnsi="Arial" w:cs="Arial"/>
        </w:rPr>
        <w:t>RT</w:t>
      </w:r>
      <w:r w:rsidR="0095042E" w:rsidRPr="00450BE5">
        <w:rPr>
          <w:rFonts w:ascii="Arial" w:hAnsi="Arial" w:cs="Arial"/>
        </w:rPr>
        <w:t>)</w:t>
      </w:r>
    </w:p>
    <w:p w:rsidR="00A85C62" w:rsidRPr="00A85C62" w:rsidRDefault="0095042E" w:rsidP="004A041D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  <w:rPr>
          <w:rFonts w:ascii="Arial" w:hAnsi="Arial" w:cs="Arial"/>
        </w:rPr>
      </w:pPr>
      <w:r w:rsidRPr="00450BE5">
        <w:rPr>
          <w:rFonts w:ascii="Arial" w:hAnsi="Arial" w:cs="Arial"/>
        </w:rPr>
        <w:t>Circle sections with Pap pen (</w:t>
      </w:r>
      <w:proofErr w:type="spellStart"/>
      <w:r w:rsidRPr="00450BE5">
        <w:rPr>
          <w:rFonts w:ascii="Arial" w:hAnsi="Arial" w:cs="Arial"/>
        </w:rPr>
        <w:t>ImmEdge</w:t>
      </w:r>
      <w:proofErr w:type="spellEnd"/>
      <w:r w:rsidRPr="00450BE5">
        <w:rPr>
          <w:rFonts w:ascii="Arial" w:hAnsi="Arial" w:cs="Arial"/>
        </w:rPr>
        <w:t xml:space="preserve">, </w:t>
      </w:r>
      <w:r w:rsidR="00337E6F" w:rsidRPr="00450BE5">
        <w:rPr>
          <w:rFonts w:ascii="Arial" w:hAnsi="Arial" w:cs="Arial"/>
          <w:color w:val="000000"/>
          <w:shd w:val="clear" w:color="auto" w:fill="FFFFFF"/>
        </w:rPr>
        <w:t>Vector Laboratories, H-4000</w:t>
      </w:r>
      <w:r w:rsidRPr="00450BE5">
        <w:rPr>
          <w:rFonts w:ascii="Arial" w:hAnsi="Arial" w:cs="Arial"/>
        </w:rPr>
        <w:t xml:space="preserve">) and allow to dry for </w:t>
      </w:r>
      <w:r w:rsidR="00F50A0D" w:rsidRPr="00450BE5">
        <w:rPr>
          <w:rFonts w:ascii="Arial" w:hAnsi="Arial" w:cs="Arial"/>
        </w:rPr>
        <w:t xml:space="preserve">an additional </w:t>
      </w:r>
      <w:r w:rsidRPr="00450BE5">
        <w:rPr>
          <w:rFonts w:ascii="Arial" w:hAnsi="Arial" w:cs="Arial"/>
        </w:rPr>
        <w:t>20-30 minutes at RT</w:t>
      </w:r>
      <w:r w:rsidR="00A85C62">
        <w:rPr>
          <w:rFonts w:ascii="Arial" w:hAnsi="Arial" w:cs="Arial"/>
        </w:rPr>
        <w:t xml:space="preserve"> then proceed with staining or store at -20 ºC until ready to stain</w:t>
      </w:r>
    </w:p>
    <w:p w:rsidR="006F7FFD" w:rsidRPr="004A041D" w:rsidRDefault="00A85C62" w:rsidP="004A041D">
      <w:pPr>
        <w:pStyle w:val="ListParagraph"/>
        <w:numPr>
          <w:ilvl w:val="1"/>
          <w:numId w:val="1"/>
        </w:numPr>
        <w:spacing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sections have been stored at -20 ºC, pull them from the freezer and allow to dry on the bench for 15-20 min prior to staining</w:t>
      </w:r>
    </w:p>
    <w:p w:rsidR="00C87D05" w:rsidRDefault="00C87D05" w:rsidP="004A041D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  <w:rPr>
          <w:rFonts w:ascii="Arial" w:hAnsi="Arial" w:cs="Arial"/>
        </w:rPr>
      </w:pPr>
      <w:r w:rsidRPr="00450BE5">
        <w:rPr>
          <w:rFonts w:ascii="Arial" w:hAnsi="Arial" w:cs="Arial"/>
        </w:rPr>
        <w:t xml:space="preserve">Fix sections </w:t>
      </w:r>
      <w:r w:rsidR="00A85C62">
        <w:rPr>
          <w:rFonts w:ascii="Arial" w:hAnsi="Arial" w:cs="Arial"/>
        </w:rPr>
        <w:t xml:space="preserve">with 4% </w:t>
      </w:r>
      <w:proofErr w:type="spellStart"/>
      <w:r w:rsidR="00A85C62">
        <w:rPr>
          <w:rFonts w:ascii="Arial" w:hAnsi="Arial" w:cs="Arial"/>
        </w:rPr>
        <w:t>paraformaldyhyde</w:t>
      </w:r>
      <w:proofErr w:type="spellEnd"/>
      <w:r w:rsidR="00A85C62">
        <w:rPr>
          <w:rFonts w:ascii="Arial" w:hAnsi="Arial" w:cs="Arial"/>
        </w:rPr>
        <w:t xml:space="preserve"> (PFA) for 7 min in a chemical hood (see Recipes below)</w:t>
      </w:r>
    </w:p>
    <w:p w:rsidR="006F7FFD" w:rsidRPr="004A041D" w:rsidRDefault="00A85C62" w:rsidP="004A041D">
      <w:pPr>
        <w:pStyle w:val="ListParagraph"/>
        <w:numPr>
          <w:ilvl w:val="1"/>
          <w:numId w:val="1"/>
        </w:numPr>
        <w:spacing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*PFA if harmful and should be handle with appropriate PPE (gloves, lab coat and a mask</w:t>
      </w:r>
      <w:r w:rsidR="004A041D">
        <w:rPr>
          <w:rFonts w:ascii="Arial" w:hAnsi="Arial" w:cs="Arial"/>
        </w:rPr>
        <w:t xml:space="preserve"> when appropriate</w:t>
      </w:r>
      <w:r>
        <w:rPr>
          <w:rFonts w:ascii="Arial" w:hAnsi="Arial" w:cs="Arial"/>
        </w:rPr>
        <w:t>)</w:t>
      </w:r>
    </w:p>
    <w:p w:rsidR="00F50A0D" w:rsidRPr="004A041D" w:rsidRDefault="00C87D05" w:rsidP="004A041D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450BE5">
        <w:rPr>
          <w:rFonts w:ascii="Arial" w:hAnsi="Arial" w:cs="Arial"/>
        </w:rPr>
        <w:t>Wash 3x</w:t>
      </w:r>
      <w:r w:rsidR="0095042E" w:rsidRPr="00450BE5">
        <w:rPr>
          <w:rFonts w:ascii="Arial" w:hAnsi="Arial" w:cs="Arial"/>
        </w:rPr>
        <w:t xml:space="preserve"> </w:t>
      </w:r>
      <w:r w:rsidRPr="00450BE5">
        <w:rPr>
          <w:rFonts w:ascii="Arial" w:hAnsi="Arial" w:cs="Arial"/>
        </w:rPr>
        <w:t xml:space="preserve">3 min in </w:t>
      </w:r>
      <w:r w:rsidR="0095042E" w:rsidRPr="00450BE5">
        <w:rPr>
          <w:rFonts w:ascii="Arial" w:hAnsi="Arial" w:cs="Arial"/>
        </w:rPr>
        <w:t xml:space="preserve">1x </w:t>
      </w:r>
      <w:r w:rsidRPr="00450BE5">
        <w:rPr>
          <w:rFonts w:ascii="Arial" w:hAnsi="Arial" w:cs="Arial"/>
        </w:rPr>
        <w:t>PBS</w:t>
      </w:r>
      <w:r w:rsidR="00F50A0D" w:rsidRPr="00450BE5">
        <w:rPr>
          <w:rFonts w:ascii="Arial" w:hAnsi="Arial" w:cs="Arial"/>
        </w:rPr>
        <w:t xml:space="preserve"> in a </w:t>
      </w:r>
      <w:proofErr w:type="spellStart"/>
      <w:r w:rsidR="00F50A0D" w:rsidRPr="00450BE5">
        <w:rPr>
          <w:rFonts w:ascii="Arial" w:hAnsi="Arial" w:cs="Arial"/>
        </w:rPr>
        <w:t>coplin</w:t>
      </w:r>
      <w:proofErr w:type="spellEnd"/>
      <w:r w:rsidR="00F50A0D" w:rsidRPr="00450BE5">
        <w:rPr>
          <w:rFonts w:ascii="Arial" w:hAnsi="Arial" w:cs="Arial"/>
        </w:rPr>
        <w:t xml:space="preserve"> jar</w:t>
      </w:r>
      <w:r w:rsidR="004A041D">
        <w:rPr>
          <w:rFonts w:ascii="Arial" w:hAnsi="Arial" w:cs="Arial"/>
        </w:rPr>
        <w:t xml:space="preserve"> (see Recipes below)</w:t>
      </w:r>
    </w:p>
    <w:p w:rsidR="00F50A0D" w:rsidRPr="004A041D" w:rsidRDefault="00F50A0D" w:rsidP="004A041D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450BE5">
        <w:rPr>
          <w:rFonts w:ascii="Arial" w:hAnsi="Arial" w:cs="Arial"/>
        </w:rPr>
        <w:t xml:space="preserve">Remove slides from the </w:t>
      </w:r>
      <w:proofErr w:type="spellStart"/>
      <w:r w:rsidRPr="00450BE5">
        <w:rPr>
          <w:rFonts w:ascii="Arial" w:hAnsi="Arial" w:cs="Arial"/>
        </w:rPr>
        <w:t>coplin</w:t>
      </w:r>
      <w:proofErr w:type="spellEnd"/>
      <w:r w:rsidRPr="00450BE5">
        <w:rPr>
          <w:rFonts w:ascii="Arial" w:hAnsi="Arial" w:cs="Arial"/>
        </w:rPr>
        <w:t xml:space="preserve"> jar, flick the excess PBS from the slide, wipe the back with a paper towel to remove PBS droplets and transfer to a humidifying slide chamber with ~¼ inch of water in the bottom (VWR,</w:t>
      </w:r>
      <w:r w:rsidRPr="00450BE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50BE5">
        <w:rPr>
          <w:rFonts w:ascii="Arial" w:hAnsi="Arial" w:cs="Arial"/>
        </w:rPr>
        <w:t>10 slide staining tray with black lid, 102097-500).</w:t>
      </w:r>
    </w:p>
    <w:p w:rsidR="00CC19CB" w:rsidRPr="00450BE5" w:rsidRDefault="00DB7C46" w:rsidP="004A041D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  <w:rPr>
          <w:rFonts w:ascii="Arial" w:hAnsi="Arial" w:cs="Arial"/>
        </w:rPr>
      </w:pPr>
      <w:r w:rsidRPr="00450BE5">
        <w:rPr>
          <w:rFonts w:ascii="Arial" w:hAnsi="Arial" w:cs="Arial"/>
        </w:rPr>
        <w:t xml:space="preserve">Block </w:t>
      </w:r>
      <w:r w:rsidR="00D33BC1" w:rsidRPr="00450BE5">
        <w:rPr>
          <w:rFonts w:ascii="Arial" w:hAnsi="Arial" w:cs="Arial"/>
        </w:rPr>
        <w:t xml:space="preserve">endogenous peroxidases </w:t>
      </w:r>
      <w:r w:rsidR="00F50A0D" w:rsidRPr="00450BE5">
        <w:rPr>
          <w:rFonts w:ascii="Arial" w:hAnsi="Arial" w:cs="Arial"/>
        </w:rPr>
        <w:t>by pipetting</w:t>
      </w:r>
      <w:r w:rsidR="00D33BC1" w:rsidRPr="00450BE5">
        <w:rPr>
          <w:rFonts w:ascii="Arial" w:hAnsi="Arial" w:cs="Arial"/>
        </w:rPr>
        <w:t xml:space="preserve"> 3% hydrogen peroxide</w:t>
      </w:r>
      <w:r w:rsidRPr="00450BE5">
        <w:rPr>
          <w:rFonts w:ascii="Arial" w:hAnsi="Arial" w:cs="Arial"/>
        </w:rPr>
        <w:t xml:space="preserve"> in </w:t>
      </w:r>
      <w:r w:rsidR="0095042E" w:rsidRPr="00450BE5">
        <w:rPr>
          <w:rFonts w:ascii="Arial" w:hAnsi="Arial" w:cs="Arial"/>
        </w:rPr>
        <w:t xml:space="preserve">1x </w:t>
      </w:r>
      <w:r w:rsidRPr="00450BE5">
        <w:rPr>
          <w:rFonts w:ascii="Arial" w:hAnsi="Arial" w:cs="Arial"/>
        </w:rPr>
        <w:t xml:space="preserve">PBS </w:t>
      </w:r>
      <w:r w:rsidR="00F50A0D" w:rsidRPr="00450BE5">
        <w:rPr>
          <w:rFonts w:ascii="Arial" w:hAnsi="Arial" w:cs="Arial"/>
        </w:rPr>
        <w:t xml:space="preserve">onto your sections (into your Pap pen area) and incubate </w:t>
      </w:r>
      <w:r w:rsidRPr="00450BE5">
        <w:rPr>
          <w:rFonts w:ascii="Arial" w:hAnsi="Arial" w:cs="Arial"/>
        </w:rPr>
        <w:t>for 7</w:t>
      </w:r>
      <w:r w:rsidR="0095042E" w:rsidRPr="00450BE5">
        <w:rPr>
          <w:rFonts w:ascii="Arial" w:hAnsi="Arial" w:cs="Arial"/>
        </w:rPr>
        <w:t xml:space="preserve"> </w:t>
      </w:r>
      <w:r w:rsidRPr="00450BE5">
        <w:rPr>
          <w:rFonts w:ascii="Arial" w:hAnsi="Arial" w:cs="Arial"/>
        </w:rPr>
        <w:t>min at RT</w:t>
      </w:r>
      <w:r w:rsidR="00CC19CB" w:rsidRPr="00450BE5">
        <w:rPr>
          <w:rFonts w:ascii="Arial" w:hAnsi="Arial" w:cs="Arial"/>
        </w:rPr>
        <w:t xml:space="preserve"> </w:t>
      </w:r>
    </w:p>
    <w:p w:rsidR="00DB7C46" w:rsidRPr="004A041D" w:rsidRDefault="00CC19CB" w:rsidP="004A041D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</w:rPr>
      </w:pPr>
      <w:r w:rsidRPr="00450BE5">
        <w:rPr>
          <w:rFonts w:ascii="Arial" w:hAnsi="Arial" w:cs="Arial"/>
        </w:rPr>
        <w:t xml:space="preserve">Bubbles </w:t>
      </w:r>
      <w:r w:rsidR="00A85C62">
        <w:rPr>
          <w:rFonts w:ascii="Arial" w:hAnsi="Arial" w:cs="Arial"/>
        </w:rPr>
        <w:t>may</w:t>
      </w:r>
      <w:r w:rsidRPr="00450BE5">
        <w:rPr>
          <w:rFonts w:ascii="Arial" w:hAnsi="Arial" w:cs="Arial"/>
        </w:rPr>
        <w:t xml:space="preserve"> form on your sections duri</w:t>
      </w:r>
      <w:r w:rsidR="00A85C62">
        <w:rPr>
          <w:rFonts w:ascii="Arial" w:hAnsi="Arial" w:cs="Arial"/>
        </w:rPr>
        <w:t>ng hydrogen peroxide incubation indicating the peroxide is working</w:t>
      </w:r>
      <w:r w:rsidRPr="00450BE5">
        <w:rPr>
          <w:rFonts w:ascii="Arial" w:hAnsi="Arial" w:cs="Arial"/>
        </w:rPr>
        <w:t>.</w:t>
      </w:r>
      <w:r w:rsidR="00A85C62">
        <w:rPr>
          <w:rFonts w:ascii="Arial" w:hAnsi="Arial" w:cs="Arial"/>
        </w:rPr>
        <w:t xml:space="preserve"> The absence of bubbling will not affect staining but may indicate poor tissue quality.</w:t>
      </w:r>
    </w:p>
    <w:p w:rsidR="00DB7C46" w:rsidRDefault="00DB7C46" w:rsidP="004A041D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450BE5">
        <w:rPr>
          <w:rFonts w:ascii="Arial" w:hAnsi="Arial" w:cs="Arial"/>
        </w:rPr>
        <w:t>Wash 3x</w:t>
      </w:r>
      <w:r w:rsidR="0095042E" w:rsidRPr="00450BE5">
        <w:rPr>
          <w:rFonts w:ascii="Arial" w:hAnsi="Arial" w:cs="Arial"/>
        </w:rPr>
        <w:t xml:space="preserve"> </w:t>
      </w:r>
      <w:r w:rsidRPr="00450BE5">
        <w:rPr>
          <w:rFonts w:ascii="Arial" w:hAnsi="Arial" w:cs="Arial"/>
        </w:rPr>
        <w:t xml:space="preserve">3 min in </w:t>
      </w:r>
      <w:r w:rsidR="0095042E" w:rsidRPr="00450BE5">
        <w:rPr>
          <w:rFonts w:ascii="Arial" w:hAnsi="Arial" w:cs="Arial"/>
        </w:rPr>
        <w:t xml:space="preserve">1x </w:t>
      </w:r>
      <w:r w:rsidRPr="00450BE5">
        <w:rPr>
          <w:rFonts w:ascii="Arial" w:hAnsi="Arial" w:cs="Arial"/>
        </w:rPr>
        <w:t>PBS</w:t>
      </w:r>
      <w:r w:rsidR="00F50A0D" w:rsidRPr="00450BE5">
        <w:rPr>
          <w:rFonts w:ascii="Arial" w:hAnsi="Arial" w:cs="Arial"/>
        </w:rPr>
        <w:t xml:space="preserve"> by dumping the PBS off of the slide, flicking excess PBS, wiping the back of the slide and pipetting fresh PBS onto your section/into the Pap pen area</w:t>
      </w:r>
      <w:r w:rsidR="00B63E8E" w:rsidRPr="00450BE5">
        <w:rPr>
          <w:rFonts w:ascii="Arial" w:hAnsi="Arial" w:cs="Arial"/>
        </w:rPr>
        <w:t xml:space="preserve"> (*all washes from here out are done this way)</w:t>
      </w:r>
    </w:p>
    <w:p w:rsidR="00A85C62" w:rsidRDefault="00A85C62" w:rsidP="004A041D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Rinse sections with </w:t>
      </w:r>
      <w:r w:rsidR="004A041D">
        <w:rPr>
          <w:rFonts w:ascii="Arial" w:hAnsi="Arial" w:cs="Arial"/>
        </w:rPr>
        <w:t>RT</w:t>
      </w:r>
      <w:r>
        <w:rPr>
          <w:rFonts w:ascii="Arial" w:hAnsi="Arial" w:cs="Arial"/>
        </w:rPr>
        <w:t xml:space="preserve"> Sodium Citrate buffer </w:t>
      </w:r>
      <w:r w:rsidR="004A041D">
        <w:rPr>
          <w:rFonts w:ascii="Arial" w:hAnsi="Arial" w:cs="Arial"/>
        </w:rPr>
        <w:t xml:space="preserve">(see Recipes below) </w:t>
      </w:r>
      <w:r>
        <w:rPr>
          <w:rFonts w:ascii="Arial" w:hAnsi="Arial" w:cs="Arial"/>
        </w:rPr>
        <w:t>for 2 minutes</w:t>
      </w:r>
      <w:r w:rsidR="004A041D">
        <w:rPr>
          <w:rFonts w:ascii="Arial" w:hAnsi="Arial" w:cs="Arial"/>
        </w:rPr>
        <w:t xml:space="preserve"> then perform antigen retrieval as follows:</w:t>
      </w:r>
    </w:p>
    <w:p w:rsidR="004A041D" w:rsidRPr="005538AC" w:rsidRDefault="004A041D" w:rsidP="004A041D">
      <w:pPr>
        <w:numPr>
          <w:ilvl w:val="2"/>
          <w:numId w:val="8"/>
        </w:numPr>
        <w:spacing w:after="60" w:line="240" w:lineRule="auto"/>
        <w:ind w:left="720" w:hanging="360"/>
        <w:rPr>
          <w:rFonts w:ascii="Arial" w:hAnsi="Arial" w:cs="Arial"/>
          <w:b/>
        </w:rPr>
      </w:pPr>
      <w:r w:rsidRPr="005538AC">
        <w:rPr>
          <w:rFonts w:ascii="Arial" w:hAnsi="Arial" w:cs="Arial"/>
        </w:rPr>
        <w:t xml:space="preserve">Pre-warm </w:t>
      </w:r>
      <w:r>
        <w:rPr>
          <w:rFonts w:ascii="Arial" w:hAnsi="Arial" w:cs="Arial"/>
        </w:rPr>
        <w:t xml:space="preserve">Sodium </w:t>
      </w:r>
      <w:r w:rsidRPr="005538AC">
        <w:rPr>
          <w:rFonts w:ascii="Arial" w:hAnsi="Arial" w:cs="Arial"/>
        </w:rPr>
        <w:t>Citrate buffer to 65°C in water bath</w:t>
      </w:r>
      <w:r>
        <w:rPr>
          <w:rFonts w:ascii="Arial" w:hAnsi="Arial" w:cs="Arial"/>
        </w:rPr>
        <w:t xml:space="preserve"> (15-20 minutes)</w:t>
      </w:r>
    </w:p>
    <w:p w:rsidR="004A041D" w:rsidRPr="005538AC" w:rsidRDefault="004A041D" w:rsidP="004A041D">
      <w:pPr>
        <w:numPr>
          <w:ilvl w:val="2"/>
          <w:numId w:val="8"/>
        </w:numPr>
        <w:spacing w:after="60" w:line="240" w:lineRule="auto"/>
        <w:ind w:left="720" w:hanging="360"/>
        <w:rPr>
          <w:rFonts w:ascii="Arial" w:hAnsi="Arial" w:cs="Arial"/>
          <w:b/>
        </w:rPr>
      </w:pPr>
      <w:r w:rsidRPr="005538AC">
        <w:rPr>
          <w:rFonts w:ascii="Arial" w:hAnsi="Arial" w:cs="Arial"/>
        </w:rPr>
        <w:t xml:space="preserve">After rinsing slides for 2 min in RT </w:t>
      </w:r>
      <w:r>
        <w:rPr>
          <w:rFonts w:ascii="Arial" w:hAnsi="Arial" w:cs="Arial"/>
        </w:rPr>
        <w:t xml:space="preserve">Sodium </w:t>
      </w:r>
      <w:r w:rsidRPr="005538AC">
        <w:rPr>
          <w:rFonts w:ascii="Arial" w:hAnsi="Arial" w:cs="Arial"/>
        </w:rPr>
        <w:t xml:space="preserve">Citrate buffer, add slides to warmed </w:t>
      </w:r>
      <w:r>
        <w:rPr>
          <w:rFonts w:ascii="Arial" w:hAnsi="Arial" w:cs="Arial"/>
        </w:rPr>
        <w:t xml:space="preserve">Sodium </w:t>
      </w:r>
      <w:r w:rsidRPr="005538AC">
        <w:rPr>
          <w:rFonts w:ascii="Arial" w:hAnsi="Arial" w:cs="Arial"/>
        </w:rPr>
        <w:t>Citrate now in the water bath</w:t>
      </w:r>
    </w:p>
    <w:p w:rsidR="004A041D" w:rsidRPr="005538AC" w:rsidRDefault="004A041D" w:rsidP="004A041D">
      <w:pPr>
        <w:numPr>
          <w:ilvl w:val="2"/>
          <w:numId w:val="8"/>
        </w:numPr>
        <w:spacing w:after="60" w:line="240" w:lineRule="auto"/>
        <w:ind w:left="720" w:hanging="360"/>
        <w:rPr>
          <w:rFonts w:ascii="Arial" w:hAnsi="Arial" w:cs="Arial"/>
          <w:b/>
        </w:rPr>
      </w:pPr>
      <w:r w:rsidRPr="005538AC">
        <w:rPr>
          <w:rFonts w:ascii="Arial" w:hAnsi="Arial" w:cs="Arial"/>
        </w:rPr>
        <w:t>Re-set the bath tempe</w:t>
      </w:r>
      <w:r>
        <w:rPr>
          <w:rFonts w:ascii="Arial" w:hAnsi="Arial" w:cs="Arial"/>
        </w:rPr>
        <w:t xml:space="preserve">rature to 92°C and allow the Sodium </w:t>
      </w:r>
      <w:r w:rsidRPr="005538AC">
        <w:rPr>
          <w:rFonts w:ascii="Arial" w:hAnsi="Arial" w:cs="Arial"/>
        </w:rPr>
        <w:t>Citrate buffer to warm</w:t>
      </w:r>
      <w:r>
        <w:rPr>
          <w:rFonts w:ascii="Arial" w:hAnsi="Arial" w:cs="Arial"/>
        </w:rPr>
        <w:t xml:space="preserve"> with the bath</w:t>
      </w:r>
    </w:p>
    <w:p w:rsidR="004A041D" w:rsidRPr="005538AC" w:rsidRDefault="004A041D" w:rsidP="004A041D">
      <w:pPr>
        <w:numPr>
          <w:ilvl w:val="2"/>
          <w:numId w:val="8"/>
        </w:numPr>
        <w:spacing w:after="60" w:line="240" w:lineRule="auto"/>
        <w:ind w:left="720" w:hanging="360"/>
        <w:rPr>
          <w:rFonts w:ascii="Arial" w:hAnsi="Arial" w:cs="Arial"/>
          <w:b/>
        </w:rPr>
      </w:pPr>
      <w:r w:rsidRPr="005538AC">
        <w:rPr>
          <w:rFonts w:ascii="Arial" w:hAnsi="Arial" w:cs="Arial"/>
        </w:rPr>
        <w:t>Once the bath temperature reaches 92°C, incubate the slides for an additional 11 minutes</w:t>
      </w:r>
    </w:p>
    <w:p w:rsidR="004A041D" w:rsidRPr="005538AC" w:rsidRDefault="004A041D" w:rsidP="004A041D">
      <w:pPr>
        <w:numPr>
          <w:ilvl w:val="2"/>
          <w:numId w:val="8"/>
        </w:numPr>
        <w:spacing w:after="60" w:line="240" w:lineRule="auto"/>
        <w:ind w:left="720" w:hanging="360"/>
        <w:rPr>
          <w:rFonts w:ascii="Arial" w:hAnsi="Arial" w:cs="Arial"/>
          <w:b/>
        </w:rPr>
      </w:pPr>
      <w:r w:rsidRPr="005538AC">
        <w:rPr>
          <w:rFonts w:ascii="Arial" w:hAnsi="Arial" w:cs="Arial"/>
        </w:rPr>
        <w:t>Following the 11 minute incubation, turn the water bath off, remove the lid and allow the slide chamber</w:t>
      </w:r>
      <w:r>
        <w:rPr>
          <w:rFonts w:ascii="Arial" w:hAnsi="Arial" w:cs="Arial"/>
        </w:rPr>
        <w:t xml:space="preserve"> and bath</w:t>
      </w:r>
      <w:r w:rsidRPr="005538AC">
        <w:rPr>
          <w:rFonts w:ascii="Arial" w:hAnsi="Arial" w:cs="Arial"/>
        </w:rPr>
        <w:t xml:space="preserve"> to cool to roughly 50°C</w:t>
      </w:r>
    </w:p>
    <w:p w:rsidR="004A041D" w:rsidRPr="004A041D" w:rsidRDefault="004A041D" w:rsidP="004A041D">
      <w:pPr>
        <w:numPr>
          <w:ilvl w:val="2"/>
          <w:numId w:val="8"/>
        </w:numPr>
        <w:spacing w:after="60" w:line="240" w:lineRule="auto"/>
        <w:ind w:left="720" w:hanging="360"/>
        <w:rPr>
          <w:rFonts w:ascii="Arial" w:hAnsi="Arial" w:cs="Arial"/>
          <w:b/>
        </w:rPr>
      </w:pPr>
      <w:r w:rsidRPr="005538AC">
        <w:rPr>
          <w:rFonts w:ascii="Arial" w:hAnsi="Arial" w:cs="Arial"/>
        </w:rPr>
        <w:t>Once cooled to 50°C remove from the water bath and cool on the bench until</w:t>
      </w:r>
      <w:r>
        <w:rPr>
          <w:rFonts w:ascii="Arial" w:hAnsi="Arial" w:cs="Arial"/>
        </w:rPr>
        <w:t xml:space="preserve"> roughly RT (can be </w:t>
      </w:r>
      <w:proofErr w:type="spellStart"/>
      <w:r>
        <w:rPr>
          <w:rFonts w:ascii="Arial" w:hAnsi="Arial" w:cs="Arial"/>
        </w:rPr>
        <w:t>luke</w:t>
      </w:r>
      <w:proofErr w:type="spellEnd"/>
      <w:r>
        <w:rPr>
          <w:rFonts w:ascii="Arial" w:hAnsi="Arial" w:cs="Arial"/>
        </w:rPr>
        <w:t xml:space="preserve"> warm) (*proper cooling is important for protein re-folding and proper antibody labelling)</w:t>
      </w:r>
    </w:p>
    <w:p w:rsidR="00DB7C46" w:rsidRPr="004A041D" w:rsidRDefault="004A041D" w:rsidP="004A041D">
      <w:pPr>
        <w:numPr>
          <w:ilvl w:val="2"/>
          <w:numId w:val="8"/>
        </w:numPr>
        <w:spacing w:line="240" w:lineRule="auto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D0504E">
        <w:rPr>
          <w:rFonts w:ascii="Arial" w:hAnsi="Arial" w:cs="Arial"/>
        </w:rPr>
        <w:t xml:space="preserve">ash 3x3 min </w:t>
      </w:r>
      <w:r>
        <w:rPr>
          <w:rFonts w:ascii="Arial" w:hAnsi="Arial" w:cs="Arial"/>
        </w:rPr>
        <w:t xml:space="preserve">with </w:t>
      </w:r>
      <w:r w:rsidRPr="00D0504E">
        <w:rPr>
          <w:rFonts w:ascii="Arial" w:hAnsi="Arial" w:cs="Arial"/>
        </w:rPr>
        <w:t>PBS</w:t>
      </w:r>
      <w:r>
        <w:rPr>
          <w:rFonts w:ascii="Arial" w:hAnsi="Arial" w:cs="Arial"/>
        </w:rPr>
        <w:t xml:space="preserve"> then proceed with the staining</w:t>
      </w:r>
    </w:p>
    <w:p w:rsidR="004A041D" w:rsidRDefault="004A041D" w:rsidP="004A041D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Block sections for 45 min at RT with mouse on mouse, anti-IgG blocking (M.O.M), 1 drop/1 ml of PBS (Vector laboratories, MKB-2213)</w:t>
      </w:r>
    </w:p>
    <w:p w:rsidR="004A041D" w:rsidRDefault="004A041D" w:rsidP="004A041D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Wash 3x 3 min with 1x PBS</w:t>
      </w:r>
    </w:p>
    <w:p w:rsidR="00DB7C46" w:rsidRDefault="00DB7C46" w:rsidP="00450B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50BE5">
        <w:rPr>
          <w:rFonts w:ascii="Arial" w:hAnsi="Arial" w:cs="Arial"/>
        </w:rPr>
        <w:t xml:space="preserve">Block 1hr in </w:t>
      </w:r>
      <w:r w:rsidR="00B110CA">
        <w:rPr>
          <w:rFonts w:ascii="Arial" w:hAnsi="Arial" w:cs="Arial"/>
          <w:b/>
          <w:u w:val="single"/>
        </w:rPr>
        <w:t xml:space="preserve">1% BSA blocking </w:t>
      </w:r>
    </w:p>
    <w:p w:rsidR="00B63E8E" w:rsidRPr="00B110CA" w:rsidRDefault="003353A7" w:rsidP="00B110CA">
      <w:pPr>
        <w:pStyle w:val="ListParagraph"/>
        <w:numPr>
          <w:ilvl w:val="1"/>
          <w:numId w:val="1"/>
        </w:numPr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1DA5C491" wp14:editId="7B72BD6C">
            <wp:simplePos x="0" y="0"/>
            <wp:positionH relativeFrom="margin">
              <wp:align>right</wp:align>
            </wp:positionH>
            <wp:positionV relativeFrom="paragraph">
              <wp:posOffset>-756920</wp:posOffset>
            </wp:positionV>
            <wp:extent cx="1133475" cy="552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0CA">
        <w:rPr>
          <w:rFonts w:ascii="Arial" w:hAnsi="Arial" w:cs="Arial"/>
        </w:rPr>
        <w:t xml:space="preserve">Dissolve 10mg powdered BSA per 1 mL of </w:t>
      </w:r>
      <w:proofErr w:type="gramStart"/>
      <w:r w:rsidR="00B110CA">
        <w:rPr>
          <w:rFonts w:ascii="Arial" w:hAnsi="Arial" w:cs="Arial"/>
        </w:rPr>
        <w:t>1x</w:t>
      </w:r>
      <w:proofErr w:type="gramEnd"/>
      <w:r w:rsidR="00B110CA">
        <w:rPr>
          <w:rFonts w:ascii="Arial" w:hAnsi="Arial" w:cs="Arial"/>
        </w:rPr>
        <w:t xml:space="preserve"> PBS (will last for a long time so we usually make 15 mL). Powdered BSA will dissolve more readily if rocked at 4 ºC</w:t>
      </w:r>
    </w:p>
    <w:p w:rsidR="00EB79FF" w:rsidRPr="00450BE5" w:rsidRDefault="00B63E8E" w:rsidP="00450B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50BE5">
        <w:rPr>
          <w:rFonts w:ascii="Arial" w:hAnsi="Arial" w:cs="Arial"/>
        </w:rPr>
        <w:t xml:space="preserve">Pipette enough primary antibody </w:t>
      </w:r>
      <w:r w:rsidR="00B110CA">
        <w:rPr>
          <w:rFonts w:ascii="Arial" w:hAnsi="Arial" w:cs="Arial"/>
        </w:rPr>
        <w:t>(</w:t>
      </w:r>
      <w:r w:rsidR="00B110CA" w:rsidRPr="00450BE5">
        <w:rPr>
          <w:rFonts w:ascii="Arial" w:hAnsi="Arial" w:cs="Arial"/>
        </w:rPr>
        <w:t xml:space="preserve">1° Ab) </w:t>
      </w:r>
      <w:r w:rsidRPr="00450BE5">
        <w:rPr>
          <w:rFonts w:ascii="Arial" w:hAnsi="Arial" w:cs="Arial"/>
        </w:rPr>
        <w:t>to just cover the section and i</w:t>
      </w:r>
      <w:r w:rsidR="00EB79FF" w:rsidRPr="00450BE5">
        <w:rPr>
          <w:rFonts w:ascii="Arial" w:hAnsi="Arial" w:cs="Arial"/>
        </w:rPr>
        <w:t xml:space="preserve">ncubate </w:t>
      </w:r>
      <w:r w:rsidR="0095042E" w:rsidRPr="00450BE5">
        <w:rPr>
          <w:rFonts w:ascii="Arial" w:hAnsi="Arial" w:cs="Arial"/>
        </w:rPr>
        <w:t>overnight (</w:t>
      </w:r>
      <w:r w:rsidR="00EB79FF" w:rsidRPr="00450BE5">
        <w:rPr>
          <w:rFonts w:ascii="Arial" w:hAnsi="Arial" w:cs="Arial"/>
        </w:rPr>
        <w:t>O</w:t>
      </w:r>
      <w:r w:rsidR="006F7FFD" w:rsidRPr="00450BE5">
        <w:rPr>
          <w:rFonts w:ascii="Arial" w:hAnsi="Arial" w:cs="Arial"/>
        </w:rPr>
        <w:t>N</w:t>
      </w:r>
      <w:r w:rsidR="0095042E" w:rsidRPr="00450BE5">
        <w:rPr>
          <w:rFonts w:ascii="Arial" w:hAnsi="Arial" w:cs="Arial"/>
        </w:rPr>
        <w:t>)</w:t>
      </w:r>
      <w:r w:rsidR="006F7FFD" w:rsidRPr="00450BE5">
        <w:rPr>
          <w:rFonts w:ascii="Arial" w:hAnsi="Arial" w:cs="Arial"/>
        </w:rPr>
        <w:t xml:space="preserve"> at 4</w:t>
      </w:r>
      <w:r w:rsidR="0095042E" w:rsidRPr="00450BE5">
        <w:rPr>
          <w:rFonts w:ascii="Arial" w:hAnsi="Arial" w:cs="Arial"/>
        </w:rPr>
        <w:t xml:space="preserve"> </w:t>
      </w:r>
      <w:r w:rsidR="006F7FFD" w:rsidRPr="00450BE5">
        <w:rPr>
          <w:rFonts w:ascii="Arial" w:hAnsi="Arial" w:cs="Arial"/>
        </w:rPr>
        <w:t>°C, rocking</w:t>
      </w:r>
      <w:r w:rsidR="00B110CA">
        <w:rPr>
          <w:rFonts w:ascii="Arial" w:hAnsi="Arial" w:cs="Arial"/>
        </w:rPr>
        <w:t xml:space="preserve"> (primary antibody is diluted in </w:t>
      </w:r>
      <w:r w:rsidR="00B110CA">
        <w:rPr>
          <w:rFonts w:ascii="Arial" w:hAnsi="Arial" w:cs="Arial"/>
          <w:b/>
          <w:u w:val="single"/>
        </w:rPr>
        <w:t>1% BSA</w:t>
      </w:r>
      <w:r w:rsidR="008A7EE0">
        <w:rPr>
          <w:rFonts w:ascii="Arial" w:hAnsi="Arial" w:cs="Arial"/>
          <w:b/>
          <w:u w:val="single"/>
        </w:rPr>
        <w:t xml:space="preserve"> blocking</w:t>
      </w:r>
      <w:r w:rsidR="008A7EE0" w:rsidRPr="008A7EE0">
        <w:rPr>
          <w:rFonts w:ascii="Arial" w:hAnsi="Arial" w:cs="Arial"/>
        </w:rPr>
        <w:t xml:space="preserve"> </w:t>
      </w:r>
      <w:r w:rsidR="00B110CA">
        <w:rPr>
          <w:rFonts w:ascii="Arial" w:hAnsi="Arial" w:cs="Arial"/>
        </w:rPr>
        <w:t>solution)</w:t>
      </w:r>
    </w:p>
    <w:p w:rsidR="00DB7C46" w:rsidRPr="00450BE5" w:rsidRDefault="00DB7C46" w:rsidP="00CD473F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b/>
        </w:rPr>
      </w:pPr>
      <w:r w:rsidRPr="00FE3EF4">
        <w:rPr>
          <w:rFonts w:ascii="Arial" w:hAnsi="Arial" w:cs="Arial"/>
          <w:color w:val="FF0000"/>
        </w:rPr>
        <w:t xml:space="preserve">Pax7 </w:t>
      </w:r>
      <w:r w:rsidR="00132502" w:rsidRPr="00FE3EF4">
        <w:rPr>
          <w:rFonts w:ascii="Arial" w:hAnsi="Arial" w:cs="Arial"/>
          <w:color w:val="FF0000"/>
        </w:rPr>
        <w:t>mouse (</w:t>
      </w:r>
      <w:proofErr w:type="spellStart"/>
      <w:r w:rsidR="00132502" w:rsidRPr="00FE3EF4">
        <w:rPr>
          <w:rFonts w:ascii="Arial" w:hAnsi="Arial" w:cs="Arial"/>
          <w:color w:val="FF0000"/>
        </w:rPr>
        <w:t>Ms</w:t>
      </w:r>
      <w:proofErr w:type="spellEnd"/>
      <w:r w:rsidR="00132502" w:rsidRPr="00FE3EF4">
        <w:rPr>
          <w:rFonts w:ascii="Arial" w:hAnsi="Arial" w:cs="Arial"/>
          <w:color w:val="FF0000"/>
        </w:rPr>
        <w:t xml:space="preserve">) IgG1 </w:t>
      </w:r>
      <w:r w:rsidRPr="00450BE5">
        <w:rPr>
          <w:rFonts w:ascii="Arial" w:hAnsi="Arial" w:cs="Arial"/>
        </w:rPr>
        <w:t>(1:100) (</w:t>
      </w:r>
      <w:r w:rsidRPr="00450BE5">
        <w:rPr>
          <w:rFonts w:ascii="Arial" w:hAnsi="Arial" w:cs="Arial"/>
          <w:u w:val="single"/>
        </w:rPr>
        <w:t>Concentrate</w:t>
      </w:r>
      <w:r w:rsidRPr="00450BE5">
        <w:rPr>
          <w:rFonts w:ascii="Arial" w:hAnsi="Arial" w:cs="Arial"/>
        </w:rPr>
        <w:t xml:space="preserve"> from DSHB)</w:t>
      </w:r>
    </w:p>
    <w:p w:rsidR="00EB79FF" w:rsidRPr="00450BE5" w:rsidRDefault="00EB79FF" w:rsidP="00CD473F">
      <w:pPr>
        <w:pStyle w:val="ListParagraph"/>
        <w:numPr>
          <w:ilvl w:val="1"/>
          <w:numId w:val="1"/>
        </w:numPr>
        <w:ind w:left="720"/>
        <w:rPr>
          <w:rFonts w:ascii="Arial" w:hAnsi="Arial" w:cs="Arial"/>
        </w:rPr>
      </w:pPr>
      <w:proofErr w:type="spellStart"/>
      <w:r w:rsidRPr="00450BE5">
        <w:rPr>
          <w:rFonts w:ascii="Arial" w:hAnsi="Arial" w:cs="Arial"/>
          <w:color w:val="FB03FF"/>
        </w:rPr>
        <w:t>MyHC</w:t>
      </w:r>
      <w:proofErr w:type="spellEnd"/>
      <w:r w:rsidRPr="00450BE5">
        <w:rPr>
          <w:rFonts w:ascii="Arial" w:hAnsi="Arial" w:cs="Arial"/>
          <w:color w:val="FB03FF"/>
        </w:rPr>
        <w:t xml:space="preserve"> Type 1: BA.D5 IgG2b</w:t>
      </w:r>
      <w:r w:rsidRPr="00450BE5">
        <w:rPr>
          <w:rFonts w:ascii="Arial" w:hAnsi="Arial" w:cs="Arial"/>
        </w:rPr>
        <w:t xml:space="preserve"> (1:75)</w:t>
      </w:r>
      <w:r w:rsidR="009C06C1" w:rsidRPr="00450BE5">
        <w:rPr>
          <w:rFonts w:ascii="Arial" w:hAnsi="Arial" w:cs="Arial"/>
        </w:rPr>
        <w:t xml:space="preserve"> </w:t>
      </w:r>
      <w:r w:rsidRPr="00450BE5">
        <w:rPr>
          <w:rFonts w:ascii="Arial" w:hAnsi="Arial" w:cs="Arial"/>
        </w:rPr>
        <w:t>(</w:t>
      </w:r>
      <w:r w:rsidRPr="00450BE5">
        <w:rPr>
          <w:rFonts w:ascii="Arial" w:hAnsi="Arial" w:cs="Arial"/>
          <w:u w:val="single"/>
        </w:rPr>
        <w:t>Concentrate</w:t>
      </w:r>
      <w:r w:rsidR="00B110CA">
        <w:rPr>
          <w:rFonts w:ascii="Arial" w:hAnsi="Arial" w:cs="Arial"/>
        </w:rPr>
        <w:t xml:space="preserve"> from DSHB</w:t>
      </w:r>
      <w:r w:rsidRPr="00450BE5">
        <w:rPr>
          <w:rFonts w:ascii="Arial" w:hAnsi="Arial" w:cs="Arial"/>
        </w:rPr>
        <w:t>)</w:t>
      </w:r>
    </w:p>
    <w:p w:rsidR="00A25836" w:rsidRPr="00450BE5" w:rsidRDefault="0095042E" w:rsidP="00CD473F">
      <w:pPr>
        <w:pStyle w:val="ListParagraph"/>
        <w:numPr>
          <w:ilvl w:val="1"/>
          <w:numId w:val="1"/>
        </w:numPr>
        <w:ind w:left="720"/>
        <w:rPr>
          <w:rFonts w:ascii="Arial" w:hAnsi="Arial" w:cs="Arial"/>
        </w:rPr>
      </w:pPr>
      <w:r w:rsidRPr="00450BE5">
        <w:rPr>
          <w:rFonts w:ascii="Arial" w:hAnsi="Arial" w:cs="Arial"/>
          <w:color w:val="00B050"/>
        </w:rPr>
        <w:t>Rabbit (</w:t>
      </w:r>
      <w:proofErr w:type="spellStart"/>
      <w:r w:rsidRPr="00450BE5">
        <w:rPr>
          <w:rFonts w:ascii="Arial" w:hAnsi="Arial" w:cs="Arial"/>
          <w:color w:val="00B050"/>
        </w:rPr>
        <w:t>Rb</w:t>
      </w:r>
      <w:proofErr w:type="spellEnd"/>
      <w:r w:rsidRPr="00450BE5">
        <w:rPr>
          <w:rFonts w:ascii="Arial" w:hAnsi="Arial" w:cs="Arial"/>
          <w:color w:val="00B050"/>
        </w:rPr>
        <w:t>)</w:t>
      </w:r>
      <w:r w:rsidR="009C06C1" w:rsidRPr="00450BE5">
        <w:rPr>
          <w:rFonts w:ascii="Arial" w:hAnsi="Arial" w:cs="Arial"/>
          <w:color w:val="00B050"/>
        </w:rPr>
        <w:t xml:space="preserve"> </w:t>
      </w:r>
      <w:r w:rsidRPr="00450BE5">
        <w:rPr>
          <w:rFonts w:ascii="Arial" w:hAnsi="Arial" w:cs="Arial"/>
          <w:color w:val="00B050"/>
        </w:rPr>
        <w:t>anti(α)-</w:t>
      </w:r>
      <w:proofErr w:type="spellStart"/>
      <w:r w:rsidR="0011521C" w:rsidRPr="00450BE5">
        <w:rPr>
          <w:rFonts w:ascii="Arial" w:hAnsi="Arial" w:cs="Arial"/>
          <w:color w:val="00B050"/>
        </w:rPr>
        <w:t>L</w:t>
      </w:r>
      <w:r w:rsidR="009C06C1" w:rsidRPr="00450BE5">
        <w:rPr>
          <w:rFonts w:ascii="Arial" w:hAnsi="Arial" w:cs="Arial"/>
          <w:color w:val="00B050"/>
        </w:rPr>
        <w:t>aminin</w:t>
      </w:r>
      <w:proofErr w:type="spellEnd"/>
      <w:r w:rsidR="009C06C1" w:rsidRPr="00450BE5">
        <w:rPr>
          <w:rFonts w:ascii="Arial" w:hAnsi="Arial" w:cs="Arial"/>
          <w:color w:val="00B050"/>
        </w:rPr>
        <w:t xml:space="preserve"> </w:t>
      </w:r>
      <w:r w:rsidR="009C06C1" w:rsidRPr="00450BE5">
        <w:rPr>
          <w:rFonts w:ascii="Arial" w:hAnsi="Arial" w:cs="Arial"/>
        </w:rPr>
        <w:t>(1:1</w:t>
      </w:r>
      <w:r w:rsidR="0011521C" w:rsidRPr="00450BE5">
        <w:rPr>
          <w:rFonts w:ascii="Arial" w:hAnsi="Arial" w:cs="Arial"/>
        </w:rPr>
        <w:t>00)</w:t>
      </w:r>
      <w:r w:rsidR="001A7B55" w:rsidRPr="00450BE5">
        <w:rPr>
          <w:rFonts w:ascii="Arial" w:hAnsi="Arial" w:cs="Arial"/>
        </w:rPr>
        <w:t xml:space="preserve"> (</w:t>
      </w:r>
      <w:r w:rsidR="009C06C1" w:rsidRPr="00450BE5">
        <w:rPr>
          <w:rFonts w:ascii="Arial" w:hAnsi="Arial" w:cs="Arial"/>
        </w:rPr>
        <w:t>Sigma</w:t>
      </w:r>
      <w:r w:rsidR="006F7FFD" w:rsidRPr="00450BE5">
        <w:rPr>
          <w:rFonts w:ascii="Arial" w:hAnsi="Arial" w:cs="Arial"/>
        </w:rPr>
        <w:t>, cat</w:t>
      </w:r>
      <w:r w:rsidR="001A7B55" w:rsidRPr="00450BE5">
        <w:rPr>
          <w:rFonts w:ascii="Arial" w:hAnsi="Arial" w:cs="Arial"/>
        </w:rPr>
        <w:t>#</w:t>
      </w:r>
      <w:r w:rsidR="006F7FFD" w:rsidRPr="00450BE5">
        <w:rPr>
          <w:rFonts w:ascii="Arial" w:hAnsi="Arial" w:cs="Arial"/>
        </w:rPr>
        <w:t xml:space="preserve"> </w:t>
      </w:r>
      <w:r w:rsidR="009C06C1" w:rsidRPr="00450BE5">
        <w:rPr>
          <w:rFonts w:ascii="Arial" w:hAnsi="Arial" w:cs="Arial"/>
        </w:rPr>
        <w:t>L9393</w:t>
      </w:r>
      <w:r w:rsidR="001A7B55" w:rsidRPr="00450BE5">
        <w:rPr>
          <w:rFonts w:ascii="Arial" w:hAnsi="Arial" w:cs="Arial"/>
        </w:rPr>
        <w:t>)</w:t>
      </w:r>
      <w:r w:rsidR="009C06C1" w:rsidRPr="00450BE5">
        <w:rPr>
          <w:rFonts w:ascii="Arial" w:hAnsi="Arial" w:cs="Arial"/>
        </w:rPr>
        <w:t xml:space="preserve"> </w:t>
      </w:r>
      <w:r w:rsidRPr="00450BE5">
        <w:rPr>
          <w:rFonts w:ascii="Arial" w:hAnsi="Arial" w:cs="Arial"/>
        </w:rPr>
        <w:t xml:space="preserve">or </w:t>
      </w:r>
      <w:proofErr w:type="spellStart"/>
      <w:r w:rsidRPr="00450BE5">
        <w:rPr>
          <w:rFonts w:ascii="Arial" w:hAnsi="Arial" w:cs="Arial"/>
          <w:color w:val="00B050"/>
        </w:rPr>
        <w:t>Rb</w:t>
      </w:r>
      <w:proofErr w:type="spellEnd"/>
      <w:r w:rsidRPr="00450BE5">
        <w:rPr>
          <w:rFonts w:ascii="Arial" w:hAnsi="Arial" w:cs="Arial"/>
          <w:color w:val="00B050"/>
        </w:rPr>
        <w:t xml:space="preserve"> α-Dystrophin</w:t>
      </w:r>
      <w:r w:rsidRPr="00450BE5">
        <w:rPr>
          <w:rFonts w:ascii="Arial" w:hAnsi="Arial" w:cs="Arial"/>
        </w:rPr>
        <w:t xml:space="preserve"> (1:</w:t>
      </w:r>
      <w:r w:rsidR="00CC19CB" w:rsidRPr="00450BE5">
        <w:rPr>
          <w:rFonts w:ascii="Arial" w:hAnsi="Arial" w:cs="Arial"/>
        </w:rPr>
        <w:t>100)</w:t>
      </w:r>
      <w:r w:rsidRPr="00450BE5">
        <w:rPr>
          <w:rFonts w:ascii="Arial" w:hAnsi="Arial" w:cs="Arial"/>
        </w:rPr>
        <w:t>(</w:t>
      </w:r>
      <w:proofErr w:type="spellStart"/>
      <w:r w:rsidRPr="00450BE5">
        <w:rPr>
          <w:rFonts w:ascii="Arial" w:hAnsi="Arial" w:cs="Arial"/>
        </w:rPr>
        <w:t>Abcam</w:t>
      </w:r>
      <w:proofErr w:type="spellEnd"/>
      <w:r w:rsidRPr="00450BE5">
        <w:rPr>
          <w:rFonts w:ascii="Arial" w:hAnsi="Arial" w:cs="Arial"/>
        </w:rPr>
        <w:t>,</w:t>
      </w:r>
      <w:r w:rsidR="00CC19CB" w:rsidRPr="00450BE5">
        <w:rPr>
          <w:rFonts w:ascii="Arial" w:hAnsi="Arial" w:cs="Arial"/>
        </w:rPr>
        <w:t xml:space="preserve"> ab15277)</w:t>
      </w:r>
    </w:p>
    <w:p w:rsidR="00CC19CB" w:rsidRPr="006F7FFD" w:rsidRDefault="00CC19CB" w:rsidP="00CC19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1521C" w:rsidRPr="00CD473F" w:rsidRDefault="00C36889" w:rsidP="00CD473F">
      <w:pPr>
        <w:pStyle w:val="ListParagraph"/>
        <w:spacing w:after="120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CD473F">
        <w:rPr>
          <w:rFonts w:ascii="Arial" w:hAnsi="Arial" w:cs="Arial"/>
          <w:b/>
          <w:sz w:val="28"/>
          <w:szCs w:val="28"/>
          <w:u w:val="single"/>
        </w:rPr>
        <w:t>Day 2</w:t>
      </w:r>
    </w:p>
    <w:p w:rsidR="00DB7C46" w:rsidRPr="00CD473F" w:rsidRDefault="00C36889" w:rsidP="00B110CA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Wash </w:t>
      </w:r>
      <w:r w:rsidR="00DB7C46" w:rsidRPr="00CD473F">
        <w:rPr>
          <w:rFonts w:ascii="Arial" w:hAnsi="Arial" w:cs="Arial"/>
        </w:rPr>
        <w:t>4</w:t>
      </w:r>
      <w:r w:rsidR="009C06C1" w:rsidRPr="00CD473F">
        <w:rPr>
          <w:rFonts w:ascii="Arial" w:hAnsi="Arial" w:cs="Arial"/>
        </w:rPr>
        <w:t>x</w:t>
      </w:r>
      <w:r w:rsidR="0095042E" w:rsidRPr="00CD473F">
        <w:rPr>
          <w:rFonts w:ascii="Arial" w:hAnsi="Arial" w:cs="Arial"/>
        </w:rPr>
        <w:t xml:space="preserve"> </w:t>
      </w:r>
      <w:r w:rsidR="009C06C1" w:rsidRPr="00CD473F">
        <w:rPr>
          <w:rFonts w:ascii="Arial" w:hAnsi="Arial" w:cs="Arial"/>
        </w:rPr>
        <w:t>5</w:t>
      </w:r>
      <w:r w:rsidR="00EB79FF" w:rsidRPr="00CD473F">
        <w:rPr>
          <w:rFonts w:ascii="Arial" w:hAnsi="Arial" w:cs="Arial"/>
        </w:rPr>
        <w:t xml:space="preserve"> min in </w:t>
      </w:r>
      <w:r w:rsidR="0095042E" w:rsidRPr="00CD473F">
        <w:rPr>
          <w:rFonts w:ascii="Arial" w:hAnsi="Arial" w:cs="Arial"/>
        </w:rPr>
        <w:t xml:space="preserve">1x </w:t>
      </w:r>
      <w:r w:rsidR="00EB79FF" w:rsidRPr="00CD473F">
        <w:rPr>
          <w:rFonts w:ascii="Arial" w:hAnsi="Arial" w:cs="Arial"/>
        </w:rPr>
        <w:t>PBS</w:t>
      </w:r>
    </w:p>
    <w:p w:rsidR="00DB7C46" w:rsidRPr="00B110CA" w:rsidRDefault="00DB7C46" w:rsidP="00B110CA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Incubate for </w:t>
      </w:r>
      <w:r w:rsidR="00062832" w:rsidRPr="00CD473F">
        <w:rPr>
          <w:rFonts w:ascii="Arial" w:hAnsi="Arial" w:cs="Arial"/>
        </w:rPr>
        <w:t>90 min</w:t>
      </w:r>
      <w:r w:rsidRPr="00CD473F">
        <w:rPr>
          <w:rFonts w:ascii="Arial" w:hAnsi="Arial" w:cs="Arial"/>
        </w:rPr>
        <w:t xml:space="preserve"> with </w:t>
      </w:r>
      <w:r w:rsidR="0095042E" w:rsidRPr="00FE3EF4">
        <w:rPr>
          <w:rFonts w:ascii="Arial" w:hAnsi="Arial" w:cs="Arial"/>
          <w:color w:val="FF0000"/>
        </w:rPr>
        <w:t>goat (</w:t>
      </w:r>
      <w:r w:rsidRPr="00FE3EF4">
        <w:rPr>
          <w:rFonts w:ascii="Arial" w:hAnsi="Arial" w:cs="Arial"/>
          <w:color w:val="FF0000"/>
        </w:rPr>
        <w:t>Gt</w:t>
      </w:r>
      <w:r w:rsidR="0095042E" w:rsidRPr="00FE3EF4">
        <w:rPr>
          <w:rFonts w:ascii="Arial" w:hAnsi="Arial" w:cs="Arial"/>
          <w:color w:val="FF0000"/>
        </w:rPr>
        <w:t>)</w:t>
      </w:r>
      <w:r w:rsidRPr="00FE3EF4">
        <w:rPr>
          <w:rFonts w:ascii="Arial" w:hAnsi="Arial" w:cs="Arial"/>
          <w:color w:val="FF0000"/>
        </w:rPr>
        <w:t xml:space="preserve"> α</w:t>
      </w:r>
      <w:r w:rsidR="0095042E" w:rsidRPr="00FE3EF4">
        <w:rPr>
          <w:rFonts w:ascii="Arial" w:hAnsi="Arial" w:cs="Arial"/>
          <w:color w:val="FF0000"/>
        </w:rPr>
        <w:t>-</w:t>
      </w:r>
      <w:proofErr w:type="spellStart"/>
      <w:r w:rsidRPr="00FE3EF4">
        <w:rPr>
          <w:rFonts w:ascii="Arial" w:hAnsi="Arial" w:cs="Arial"/>
          <w:color w:val="FF0000"/>
        </w:rPr>
        <w:t>Ms</w:t>
      </w:r>
      <w:proofErr w:type="spellEnd"/>
      <w:r w:rsidRPr="00FE3EF4">
        <w:rPr>
          <w:rFonts w:ascii="Arial" w:hAnsi="Arial" w:cs="Arial"/>
          <w:color w:val="FF0000"/>
        </w:rPr>
        <w:t xml:space="preserve"> IgG1 biotin–SP-conjugated </w:t>
      </w:r>
      <w:r w:rsidRPr="00CD473F">
        <w:rPr>
          <w:rFonts w:ascii="Arial" w:hAnsi="Arial" w:cs="Arial"/>
        </w:rPr>
        <w:t xml:space="preserve">(1:1000) in </w:t>
      </w:r>
      <w:r w:rsidR="00B110CA">
        <w:rPr>
          <w:rFonts w:ascii="Arial" w:hAnsi="Arial" w:cs="Arial"/>
          <w:b/>
          <w:u w:val="single"/>
        </w:rPr>
        <w:t xml:space="preserve">1% BSA blocking </w:t>
      </w:r>
      <w:r w:rsidR="0095042E" w:rsidRPr="00CD473F">
        <w:rPr>
          <w:rFonts w:ascii="Arial" w:hAnsi="Arial" w:cs="Arial"/>
        </w:rPr>
        <w:t xml:space="preserve">(Jackson </w:t>
      </w:r>
      <w:proofErr w:type="spellStart"/>
      <w:r w:rsidR="0095042E" w:rsidRPr="00CD473F">
        <w:rPr>
          <w:rFonts w:ascii="Arial" w:hAnsi="Arial" w:cs="Arial"/>
        </w:rPr>
        <w:t>Immuno</w:t>
      </w:r>
      <w:proofErr w:type="spellEnd"/>
      <w:r w:rsidR="0095042E" w:rsidRPr="00CD473F">
        <w:rPr>
          <w:rFonts w:ascii="Arial" w:hAnsi="Arial" w:cs="Arial"/>
        </w:rPr>
        <w:t xml:space="preserve"> Research, </w:t>
      </w:r>
      <w:r w:rsidRPr="00CD473F">
        <w:rPr>
          <w:rFonts w:ascii="Arial" w:hAnsi="Arial" w:cs="Arial"/>
        </w:rPr>
        <w:t>115-065-205)</w:t>
      </w:r>
    </w:p>
    <w:p w:rsidR="00DB7C46" w:rsidRPr="00B110CA" w:rsidRDefault="00DB7C46" w:rsidP="00B110CA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Wash 3x</w:t>
      </w:r>
      <w:r w:rsidR="0095042E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 xml:space="preserve">5 min in </w:t>
      </w:r>
      <w:r w:rsidR="0095042E" w:rsidRPr="00CD473F">
        <w:rPr>
          <w:rFonts w:ascii="Arial" w:hAnsi="Arial" w:cs="Arial"/>
        </w:rPr>
        <w:t xml:space="preserve">1x </w:t>
      </w:r>
      <w:r w:rsidRPr="00CD473F">
        <w:rPr>
          <w:rFonts w:ascii="Arial" w:hAnsi="Arial" w:cs="Arial"/>
        </w:rPr>
        <w:t>PBS</w:t>
      </w:r>
    </w:p>
    <w:p w:rsidR="00C87D05" w:rsidRPr="00CD473F" w:rsidRDefault="00C87D05" w:rsidP="00B110CA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Incubate 1hr </w:t>
      </w:r>
      <w:r w:rsidR="0095042E" w:rsidRPr="00CD473F">
        <w:rPr>
          <w:rFonts w:ascii="Arial" w:hAnsi="Arial" w:cs="Arial"/>
        </w:rPr>
        <w:t xml:space="preserve">in the following antibodies </w:t>
      </w:r>
      <w:r w:rsidRPr="00CD473F">
        <w:rPr>
          <w:rFonts w:ascii="Arial" w:hAnsi="Arial" w:cs="Arial"/>
        </w:rPr>
        <w:t xml:space="preserve">in </w:t>
      </w:r>
      <w:r w:rsidR="0095042E" w:rsidRPr="00CD473F">
        <w:rPr>
          <w:rFonts w:ascii="Arial" w:hAnsi="Arial" w:cs="Arial"/>
        </w:rPr>
        <w:t xml:space="preserve">1x </w:t>
      </w:r>
      <w:r w:rsidR="00EB79FF" w:rsidRPr="00CD473F">
        <w:rPr>
          <w:rFonts w:ascii="Arial" w:hAnsi="Arial" w:cs="Arial"/>
        </w:rPr>
        <w:t>PBS</w:t>
      </w:r>
      <w:r w:rsidR="006F7FFD" w:rsidRPr="00CD473F">
        <w:rPr>
          <w:rFonts w:ascii="Arial" w:hAnsi="Arial" w:cs="Arial"/>
        </w:rPr>
        <w:t xml:space="preserve"> at RT</w:t>
      </w:r>
    </w:p>
    <w:p w:rsidR="00DB7C46" w:rsidRPr="00CD473F" w:rsidRDefault="0095042E" w:rsidP="00B110CA">
      <w:pPr>
        <w:pStyle w:val="ListParagraph"/>
        <w:numPr>
          <w:ilvl w:val="1"/>
          <w:numId w:val="1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FE3EF4">
        <w:rPr>
          <w:rFonts w:ascii="Arial" w:hAnsi="Arial" w:cs="Arial"/>
          <w:color w:val="FF0000"/>
        </w:rPr>
        <w:t xml:space="preserve">SA-HRP </w:t>
      </w:r>
      <w:r w:rsidRPr="00CD473F">
        <w:rPr>
          <w:rFonts w:ascii="Arial" w:hAnsi="Arial" w:cs="Arial"/>
        </w:rPr>
        <w:t>(1:500) (</w:t>
      </w:r>
      <w:r w:rsidR="00DB7C46" w:rsidRPr="00CD473F">
        <w:rPr>
          <w:rFonts w:ascii="Arial" w:hAnsi="Arial" w:cs="Arial"/>
        </w:rPr>
        <w:t>Invitrogen</w:t>
      </w:r>
      <w:r w:rsidRPr="00CD473F">
        <w:rPr>
          <w:rFonts w:ascii="Arial" w:hAnsi="Arial" w:cs="Arial"/>
        </w:rPr>
        <w:t>, S-911; stock solution = 2.5µg/µl</w:t>
      </w:r>
      <w:r w:rsidR="00DB7C46" w:rsidRPr="00CD473F">
        <w:rPr>
          <w:rFonts w:ascii="Arial" w:hAnsi="Arial" w:cs="Arial"/>
        </w:rPr>
        <w:t>)</w:t>
      </w:r>
    </w:p>
    <w:p w:rsidR="00C87D05" w:rsidRPr="00CD473F" w:rsidRDefault="00C87D05" w:rsidP="00B110CA">
      <w:pPr>
        <w:pStyle w:val="ListParagraph"/>
        <w:numPr>
          <w:ilvl w:val="1"/>
          <w:numId w:val="1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  <w:color w:val="00B050"/>
        </w:rPr>
        <w:t>Gt α</w:t>
      </w:r>
      <w:r w:rsidR="00132502" w:rsidRPr="00CD473F">
        <w:rPr>
          <w:rFonts w:ascii="Arial" w:hAnsi="Arial" w:cs="Arial"/>
          <w:color w:val="00B050"/>
        </w:rPr>
        <w:t>-</w:t>
      </w:r>
      <w:proofErr w:type="spellStart"/>
      <w:r w:rsidR="009C06C1" w:rsidRPr="00CD473F">
        <w:rPr>
          <w:rFonts w:ascii="Arial" w:hAnsi="Arial" w:cs="Arial"/>
          <w:color w:val="00B050"/>
        </w:rPr>
        <w:t>Rb</w:t>
      </w:r>
      <w:proofErr w:type="spellEnd"/>
      <w:r w:rsidR="00EB79FF" w:rsidRPr="00CD473F">
        <w:rPr>
          <w:rFonts w:ascii="Arial" w:hAnsi="Arial" w:cs="Arial"/>
          <w:color w:val="00B050"/>
        </w:rPr>
        <w:t xml:space="preserve"> IgG (H+L)</w:t>
      </w:r>
      <w:r w:rsidRPr="00CD473F">
        <w:rPr>
          <w:rFonts w:ascii="Arial" w:hAnsi="Arial" w:cs="Arial"/>
          <w:color w:val="00B050"/>
        </w:rPr>
        <w:t xml:space="preserve"> AF488</w:t>
      </w:r>
      <w:r w:rsidRPr="00CD473F">
        <w:rPr>
          <w:rFonts w:ascii="Arial" w:hAnsi="Arial" w:cs="Arial"/>
        </w:rPr>
        <w:t xml:space="preserve"> (1:</w:t>
      </w:r>
      <w:r w:rsidR="00EB79FF" w:rsidRPr="00CD473F">
        <w:rPr>
          <w:rFonts w:ascii="Arial" w:hAnsi="Arial" w:cs="Arial"/>
        </w:rPr>
        <w:t>250</w:t>
      </w:r>
      <w:r w:rsidRPr="00CD473F">
        <w:rPr>
          <w:rFonts w:ascii="Arial" w:hAnsi="Arial" w:cs="Arial"/>
        </w:rPr>
        <w:t>) (</w:t>
      </w:r>
      <w:r w:rsidR="009C06C1" w:rsidRPr="00CD473F">
        <w:rPr>
          <w:rFonts w:ascii="Arial" w:hAnsi="Arial" w:cs="Arial"/>
        </w:rPr>
        <w:t xml:space="preserve">for </w:t>
      </w:r>
      <w:proofErr w:type="spellStart"/>
      <w:r w:rsidR="00EB79FF" w:rsidRPr="00CD473F">
        <w:rPr>
          <w:rFonts w:ascii="Arial" w:hAnsi="Arial" w:cs="Arial"/>
        </w:rPr>
        <w:t>laminin</w:t>
      </w:r>
      <w:proofErr w:type="spellEnd"/>
      <w:r w:rsidR="00EB79FF" w:rsidRPr="00CD473F">
        <w:rPr>
          <w:rFonts w:ascii="Arial" w:hAnsi="Arial" w:cs="Arial"/>
        </w:rPr>
        <w:t xml:space="preserve">, </w:t>
      </w:r>
      <w:r w:rsidR="000E7185" w:rsidRPr="00CD473F">
        <w:rPr>
          <w:rFonts w:ascii="Arial" w:hAnsi="Arial" w:cs="Arial"/>
        </w:rPr>
        <w:t>Invitrogen, cat#</w:t>
      </w:r>
      <w:r w:rsidR="00EB79FF" w:rsidRPr="00CD473F">
        <w:rPr>
          <w:rFonts w:ascii="Arial" w:hAnsi="Arial" w:cs="Arial"/>
        </w:rPr>
        <w:t xml:space="preserve"> </w:t>
      </w:r>
      <w:r w:rsidR="000E7185" w:rsidRPr="00CD473F">
        <w:rPr>
          <w:rFonts w:ascii="Arial" w:hAnsi="Arial" w:cs="Arial"/>
        </w:rPr>
        <w:t>A</w:t>
      </w:r>
      <w:r w:rsidR="00EB79FF" w:rsidRPr="00CD473F">
        <w:rPr>
          <w:rFonts w:ascii="Arial" w:hAnsi="Arial" w:cs="Arial"/>
        </w:rPr>
        <w:t>-</w:t>
      </w:r>
      <w:r w:rsidR="000E7185" w:rsidRPr="00CD473F">
        <w:rPr>
          <w:rFonts w:ascii="Arial" w:hAnsi="Arial" w:cs="Arial"/>
        </w:rPr>
        <w:t>1103</w:t>
      </w:r>
      <w:r w:rsidR="009C06C1" w:rsidRPr="00CD473F">
        <w:rPr>
          <w:rFonts w:ascii="Arial" w:hAnsi="Arial" w:cs="Arial"/>
        </w:rPr>
        <w:t>4</w:t>
      </w:r>
      <w:r w:rsidR="000E7185" w:rsidRPr="00CD473F">
        <w:rPr>
          <w:rFonts w:ascii="Arial" w:hAnsi="Arial" w:cs="Arial"/>
        </w:rPr>
        <w:t>)</w:t>
      </w:r>
    </w:p>
    <w:p w:rsidR="006F7FFD" w:rsidRPr="00B110CA" w:rsidRDefault="00EB79FF" w:rsidP="00B110CA">
      <w:pPr>
        <w:pStyle w:val="ListParagraph"/>
        <w:numPr>
          <w:ilvl w:val="1"/>
          <w:numId w:val="1"/>
        </w:numPr>
        <w:spacing w:line="240" w:lineRule="auto"/>
        <w:ind w:left="72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  <w:color w:val="FB03FF"/>
        </w:rPr>
        <w:t>Gt α</w:t>
      </w:r>
      <w:r w:rsidR="00132502" w:rsidRPr="00CD473F">
        <w:rPr>
          <w:rFonts w:ascii="Arial" w:hAnsi="Arial" w:cs="Arial"/>
          <w:color w:val="FB03FF"/>
        </w:rPr>
        <w:t>-</w:t>
      </w:r>
      <w:proofErr w:type="spellStart"/>
      <w:r w:rsidRPr="00CD473F">
        <w:rPr>
          <w:rFonts w:ascii="Arial" w:hAnsi="Arial" w:cs="Arial"/>
          <w:color w:val="FB03FF"/>
        </w:rPr>
        <w:t>Ms</w:t>
      </w:r>
      <w:proofErr w:type="spellEnd"/>
      <w:r w:rsidRPr="00CD473F">
        <w:rPr>
          <w:rFonts w:ascii="Arial" w:hAnsi="Arial" w:cs="Arial"/>
          <w:color w:val="FB03FF"/>
        </w:rPr>
        <w:t xml:space="preserve"> IgG2b AF647</w:t>
      </w:r>
      <w:r w:rsidRPr="00CD473F">
        <w:rPr>
          <w:rFonts w:ascii="Arial" w:hAnsi="Arial" w:cs="Arial"/>
        </w:rPr>
        <w:t xml:space="preserve"> (1:250) (for </w:t>
      </w:r>
      <w:proofErr w:type="spellStart"/>
      <w:r w:rsidRPr="00CD473F">
        <w:rPr>
          <w:rFonts w:ascii="Arial" w:hAnsi="Arial" w:cs="Arial"/>
        </w:rPr>
        <w:t>MyHC</w:t>
      </w:r>
      <w:proofErr w:type="spellEnd"/>
      <w:r w:rsidRPr="00CD473F">
        <w:rPr>
          <w:rFonts w:ascii="Arial" w:hAnsi="Arial" w:cs="Arial"/>
        </w:rPr>
        <w:t xml:space="preserve"> Type1, Invitrogen, cat# A-21242)</w:t>
      </w:r>
    </w:p>
    <w:p w:rsidR="00DB7C46" w:rsidRPr="00B110CA" w:rsidRDefault="00C87D05" w:rsidP="00B110CA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Wash </w:t>
      </w:r>
      <w:r w:rsidR="00EB79FF" w:rsidRPr="00CD473F">
        <w:rPr>
          <w:rFonts w:ascii="Arial" w:hAnsi="Arial" w:cs="Arial"/>
        </w:rPr>
        <w:t>3</w:t>
      </w:r>
      <w:r w:rsidRPr="00CD473F">
        <w:rPr>
          <w:rFonts w:ascii="Arial" w:hAnsi="Arial" w:cs="Arial"/>
        </w:rPr>
        <w:t>x</w:t>
      </w:r>
      <w:r w:rsidR="00132502" w:rsidRPr="00CD473F">
        <w:rPr>
          <w:rFonts w:ascii="Arial" w:hAnsi="Arial" w:cs="Arial"/>
        </w:rPr>
        <w:t xml:space="preserve"> </w:t>
      </w:r>
      <w:r w:rsidR="00DB7C46" w:rsidRPr="00CD473F">
        <w:rPr>
          <w:rFonts w:ascii="Arial" w:hAnsi="Arial" w:cs="Arial"/>
        </w:rPr>
        <w:t>5</w:t>
      </w:r>
      <w:r w:rsidRPr="00CD473F">
        <w:rPr>
          <w:rFonts w:ascii="Arial" w:hAnsi="Arial" w:cs="Arial"/>
        </w:rPr>
        <w:t xml:space="preserve"> min in </w:t>
      </w:r>
      <w:r w:rsidR="00132502" w:rsidRPr="00CD473F">
        <w:rPr>
          <w:rFonts w:ascii="Arial" w:hAnsi="Arial" w:cs="Arial"/>
        </w:rPr>
        <w:t xml:space="preserve">1x </w:t>
      </w:r>
      <w:r w:rsidRPr="00CD473F">
        <w:rPr>
          <w:rFonts w:ascii="Arial" w:hAnsi="Arial" w:cs="Arial"/>
        </w:rPr>
        <w:t>PBS</w:t>
      </w:r>
    </w:p>
    <w:p w:rsidR="006F7FFD" w:rsidRPr="00B110CA" w:rsidRDefault="00C36889" w:rsidP="00B110CA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Incubate </w:t>
      </w:r>
      <w:r w:rsidR="00F80A99" w:rsidRPr="00CD473F">
        <w:rPr>
          <w:rFonts w:ascii="Arial" w:hAnsi="Arial" w:cs="Arial"/>
        </w:rPr>
        <w:t>20</w:t>
      </w:r>
      <w:r w:rsidR="001E2C14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 xml:space="preserve">min in </w:t>
      </w:r>
      <w:proofErr w:type="spellStart"/>
      <w:r w:rsidR="00132502" w:rsidRPr="00FE3EF4">
        <w:rPr>
          <w:rFonts w:ascii="Arial" w:hAnsi="Arial" w:cs="Arial"/>
          <w:color w:val="FF0000"/>
        </w:rPr>
        <w:t>Superboost</w:t>
      </w:r>
      <w:proofErr w:type="spellEnd"/>
      <w:r w:rsidR="00132502" w:rsidRPr="00FE3EF4">
        <w:rPr>
          <w:rFonts w:ascii="Arial" w:hAnsi="Arial" w:cs="Arial"/>
          <w:color w:val="FF0000"/>
        </w:rPr>
        <w:t xml:space="preserve"> </w:t>
      </w:r>
      <w:r w:rsidR="00F80A99" w:rsidRPr="00FE3EF4">
        <w:rPr>
          <w:rFonts w:ascii="Arial" w:hAnsi="Arial" w:cs="Arial"/>
          <w:color w:val="FF0000"/>
        </w:rPr>
        <w:t xml:space="preserve">TSA </w:t>
      </w:r>
      <w:r w:rsidRPr="00FE3EF4">
        <w:rPr>
          <w:rFonts w:ascii="Arial" w:hAnsi="Arial" w:cs="Arial"/>
          <w:color w:val="FF0000"/>
        </w:rPr>
        <w:t xml:space="preserve">Alexa flour </w:t>
      </w:r>
      <w:r w:rsidR="009C06C1" w:rsidRPr="00FE3EF4">
        <w:rPr>
          <w:rFonts w:ascii="Arial" w:hAnsi="Arial" w:cs="Arial"/>
          <w:color w:val="FF0000"/>
        </w:rPr>
        <w:t>594</w:t>
      </w:r>
      <w:r w:rsidR="00020293" w:rsidRPr="00FE3EF4">
        <w:rPr>
          <w:rFonts w:ascii="Arial" w:hAnsi="Arial" w:cs="Arial"/>
          <w:color w:val="FF0000"/>
        </w:rPr>
        <w:t xml:space="preserve"> </w:t>
      </w:r>
      <w:r w:rsidRPr="00CD473F">
        <w:rPr>
          <w:rFonts w:ascii="Arial" w:hAnsi="Arial" w:cs="Arial"/>
        </w:rPr>
        <w:t>(</w:t>
      </w:r>
      <w:r w:rsidR="00132502" w:rsidRPr="00CD473F">
        <w:rPr>
          <w:rFonts w:ascii="Arial" w:hAnsi="Arial" w:cs="Arial"/>
        </w:rPr>
        <w:t>1:5</w:t>
      </w:r>
      <w:r w:rsidR="00F80A99" w:rsidRPr="00CD473F">
        <w:rPr>
          <w:rFonts w:ascii="Arial" w:hAnsi="Arial" w:cs="Arial"/>
        </w:rPr>
        <w:t xml:space="preserve">00) in </w:t>
      </w:r>
      <w:proofErr w:type="gramStart"/>
      <w:r w:rsidR="00132502" w:rsidRPr="00CD473F">
        <w:rPr>
          <w:rFonts w:ascii="Arial" w:hAnsi="Arial" w:cs="Arial"/>
        </w:rPr>
        <w:t>1x</w:t>
      </w:r>
      <w:proofErr w:type="gramEnd"/>
      <w:r w:rsidR="00132502" w:rsidRPr="00CD473F">
        <w:rPr>
          <w:rFonts w:ascii="Arial" w:hAnsi="Arial" w:cs="Arial"/>
        </w:rPr>
        <w:t xml:space="preserve"> PBS</w:t>
      </w:r>
      <w:r w:rsidR="00F80A99" w:rsidRPr="00CD473F">
        <w:rPr>
          <w:rFonts w:ascii="Arial" w:hAnsi="Arial" w:cs="Arial"/>
        </w:rPr>
        <w:t xml:space="preserve"> </w:t>
      </w:r>
      <w:r w:rsidR="00132502" w:rsidRPr="00CD473F">
        <w:rPr>
          <w:rFonts w:ascii="Arial" w:hAnsi="Arial" w:cs="Arial"/>
        </w:rPr>
        <w:t>(</w:t>
      </w:r>
      <w:proofErr w:type="spellStart"/>
      <w:r w:rsidR="00F50A0D" w:rsidRPr="00CD473F">
        <w:rPr>
          <w:rFonts w:ascii="Arial" w:hAnsi="Arial" w:cs="Arial"/>
        </w:rPr>
        <w:t>ThermoFisher</w:t>
      </w:r>
      <w:proofErr w:type="spellEnd"/>
      <w:r w:rsidR="00F50A0D" w:rsidRPr="00CD473F">
        <w:rPr>
          <w:rFonts w:ascii="Arial" w:hAnsi="Arial" w:cs="Arial"/>
        </w:rPr>
        <w:t>, B40957</w:t>
      </w:r>
      <w:r w:rsidR="00F80A99" w:rsidRPr="00CD473F">
        <w:rPr>
          <w:rFonts w:ascii="Arial" w:hAnsi="Arial" w:cs="Arial"/>
        </w:rPr>
        <w:t>)</w:t>
      </w:r>
      <w:r w:rsidRPr="00CD473F">
        <w:rPr>
          <w:rFonts w:ascii="Arial" w:hAnsi="Arial" w:cs="Arial"/>
        </w:rPr>
        <w:t>.</w:t>
      </w:r>
    </w:p>
    <w:p w:rsidR="006F7FFD" w:rsidRPr="00B110CA" w:rsidRDefault="00C36889" w:rsidP="00B110CA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Wash 3x</w:t>
      </w:r>
      <w:r w:rsidR="001E2C14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>5</w:t>
      </w:r>
      <w:r w:rsidR="001E2C14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 xml:space="preserve">min in </w:t>
      </w:r>
      <w:proofErr w:type="gramStart"/>
      <w:r w:rsidR="001E2C14" w:rsidRPr="00CD473F">
        <w:rPr>
          <w:rFonts w:ascii="Arial" w:hAnsi="Arial" w:cs="Arial"/>
        </w:rPr>
        <w:t>1x</w:t>
      </w:r>
      <w:proofErr w:type="gramEnd"/>
      <w:r w:rsidR="001E2C14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>PBS.</w:t>
      </w:r>
    </w:p>
    <w:p w:rsidR="001E2C14" w:rsidRPr="00CD473F" w:rsidRDefault="00C36889" w:rsidP="00B110CA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Incubate 10</w:t>
      </w:r>
      <w:r w:rsidR="008A7EE0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 xml:space="preserve">min in </w:t>
      </w:r>
      <w:r w:rsidRPr="00CD473F">
        <w:rPr>
          <w:rFonts w:ascii="Arial" w:hAnsi="Arial" w:cs="Arial"/>
          <w:color w:val="00B0F0"/>
        </w:rPr>
        <w:t xml:space="preserve">DAPI </w:t>
      </w:r>
      <w:r w:rsidR="00F80A99" w:rsidRPr="00CD473F">
        <w:rPr>
          <w:rFonts w:ascii="Arial" w:hAnsi="Arial" w:cs="Arial"/>
        </w:rPr>
        <w:t>(1:10,000</w:t>
      </w:r>
      <w:r w:rsidR="001E2C14" w:rsidRPr="00CD473F">
        <w:rPr>
          <w:rFonts w:ascii="Arial" w:hAnsi="Arial" w:cs="Arial"/>
        </w:rPr>
        <w:t xml:space="preserve"> of stock</w:t>
      </w:r>
      <w:r w:rsidR="00F80A99" w:rsidRPr="00CD473F">
        <w:rPr>
          <w:rFonts w:ascii="Arial" w:hAnsi="Arial" w:cs="Arial"/>
        </w:rPr>
        <w:t xml:space="preserve">) in </w:t>
      </w:r>
      <w:proofErr w:type="gramStart"/>
      <w:r w:rsidR="001E2C14" w:rsidRPr="00CD473F">
        <w:rPr>
          <w:rFonts w:ascii="Arial" w:hAnsi="Arial" w:cs="Arial"/>
        </w:rPr>
        <w:t>1x</w:t>
      </w:r>
      <w:proofErr w:type="gramEnd"/>
      <w:r w:rsidR="001E2C14" w:rsidRPr="00CD473F">
        <w:rPr>
          <w:rFonts w:ascii="Arial" w:hAnsi="Arial" w:cs="Arial"/>
        </w:rPr>
        <w:t xml:space="preserve"> </w:t>
      </w:r>
      <w:r w:rsidR="00F80A99" w:rsidRPr="00CD473F">
        <w:rPr>
          <w:rFonts w:ascii="Arial" w:hAnsi="Arial" w:cs="Arial"/>
        </w:rPr>
        <w:t>PBS</w:t>
      </w:r>
      <w:r w:rsidRPr="00CD473F">
        <w:rPr>
          <w:rFonts w:ascii="Arial" w:hAnsi="Arial" w:cs="Arial"/>
        </w:rPr>
        <w:t xml:space="preserve"> at RT</w:t>
      </w:r>
      <w:r w:rsidR="00F80A99" w:rsidRPr="00CD473F">
        <w:rPr>
          <w:rFonts w:ascii="Arial" w:hAnsi="Arial" w:cs="Arial"/>
        </w:rPr>
        <w:t xml:space="preserve"> (</w:t>
      </w:r>
      <w:r w:rsidR="00337E6F" w:rsidRPr="00CD473F">
        <w:rPr>
          <w:rFonts w:ascii="Arial" w:hAnsi="Arial" w:cs="Arial"/>
          <w:color w:val="000000"/>
          <w:shd w:val="clear" w:color="auto" w:fill="FFFFFF"/>
        </w:rPr>
        <w:t>Thermo Fisher Scientific, Molecular Probes, D1306</w:t>
      </w:r>
      <w:r w:rsidR="00F80A99" w:rsidRPr="00CD473F">
        <w:rPr>
          <w:rFonts w:ascii="Arial" w:hAnsi="Arial" w:cs="Arial"/>
        </w:rPr>
        <w:t>)</w:t>
      </w:r>
      <w:r w:rsidR="001E2C14" w:rsidRPr="00CD473F">
        <w:rPr>
          <w:rFonts w:ascii="Arial" w:hAnsi="Arial" w:cs="Arial"/>
        </w:rPr>
        <w:t>.</w:t>
      </w:r>
    </w:p>
    <w:p w:rsidR="00DB7C46" w:rsidRPr="00B110CA" w:rsidRDefault="001E2C14" w:rsidP="00B110CA">
      <w:pPr>
        <w:pStyle w:val="ListParagraph"/>
        <w:numPr>
          <w:ilvl w:val="1"/>
          <w:numId w:val="1"/>
        </w:numPr>
        <w:spacing w:line="240" w:lineRule="auto"/>
        <w:ind w:left="72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Alternatively, you can mount and coverslip with </w:t>
      </w:r>
      <w:proofErr w:type="spellStart"/>
      <w:r w:rsidRPr="00CD473F">
        <w:rPr>
          <w:rFonts w:ascii="Arial" w:hAnsi="Arial" w:cs="Arial"/>
        </w:rPr>
        <w:t>Vectashield</w:t>
      </w:r>
      <w:proofErr w:type="spellEnd"/>
      <w:r w:rsidRPr="00CD473F">
        <w:rPr>
          <w:rFonts w:ascii="Arial" w:hAnsi="Arial" w:cs="Arial"/>
        </w:rPr>
        <w:t xml:space="preserve"> with DAPI, but you will need to give the DAPI 10 minutes or so to really </w:t>
      </w:r>
      <w:r w:rsidR="006B2EA2" w:rsidRPr="00CD473F">
        <w:rPr>
          <w:rFonts w:ascii="Arial" w:hAnsi="Arial" w:cs="Arial"/>
        </w:rPr>
        <w:t>intercalate</w:t>
      </w:r>
      <w:r w:rsidRPr="00CD473F">
        <w:rPr>
          <w:rFonts w:ascii="Arial" w:hAnsi="Arial" w:cs="Arial"/>
        </w:rPr>
        <w:t xml:space="preserve"> into the nuclei (Vector Laboratories, H-1200)</w:t>
      </w:r>
    </w:p>
    <w:p w:rsidR="00DB7C46" w:rsidRPr="00B110CA" w:rsidRDefault="00C36889" w:rsidP="00B110CA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Wash 3x</w:t>
      </w:r>
      <w:r w:rsidR="001E2C14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>5</w:t>
      </w:r>
      <w:r w:rsidR="001E2C14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 xml:space="preserve">min in </w:t>
      </w:r>
      <w:proofErr w:type="gramStart"/>
      <w:r w:rsidR="001E2C14" w:rsidRPr="00CD473F">
        <w:rPr>
          <w:rFonts w:ascii="Arial" w:hAnsi="Arial" w:cs="Arial"/>
        </w:rPr>
        <w:t>1x</w:t>
      </w:r>
      <w:proofErr w:type="gramEnd"/>
      <w:r w:rsidR="001E2C14" w:rsidRPr="00CD473F">
        <w:rPr>
          <w:rFonts w:ascii="Arial" w:hAnsi="Arial" w:cs="Arial"/>
        </w:rPr>
        <w:t xml:space="preserve"> </w:t>
      </w:r>
      <w:r w:rsidRPr="00CD473F">
        <w:rPr>
          <w:rFonts w:ascii="Arial" w:hAnsi="Arial" w:cs="Arial"/>
        </w:rPr>
        <w:t>PBS.</w:t>
      </w:r>
    </w:p>
    <w:p w:rsidR="00CC19CB" w:rsidRPr="00CD473F" w:rsidRDefault="00A63AC1" w:rsidP="00B110CA">
      <w:pPr>
        <w:pStyle w:val="ListParagraph"/>
        <w:numPr>
          <w:ilvl w:val="0"/>
          <w:numId w:val="1"/>
        </w:numPr>
        <w:spacing w:after="60" w:line="240" w:lineRule="auto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Mount </w:t>
      </w:r>
      <w:r w:rsidR="00A25836" w:rsidRPr="00CD473F">
        <w:rPr>
          <w:rFonts w:ascii="Arial" w:hAnsi="Arial" w:cs="Arial"/>
        </w:rPr>
        <w:t>with</w:t>
      </w:r>
      <w:r w:rsidR="001E2C14" w:rsidRPr="00CD473F">
        <w:rPr>
          <w:rFonts w:ascii="Arial" w:hAnsi="Arial" w:cs="Arial"/>
        </w:rPr>
        <w:t xml:space="preserve"> PBS/glycerol</w:t>
      </w:r>
      <w:r w:rsidR="008A7EE0">
        <w:rPr>
          <w:rFonts w:ascii="Arial" w:hAnsi="Arial" w:cs="Arial"/>
        </w:rPr>
        <w:t xml:space="preserve"> (1:1)</w:t>
      </w:r>
      <w:r w:rsidR="001E2C14" w:rsidRPr="00CD473F">
        <w:rPr>
          <w:rFonts w:ascii="Arial" w:hAnsi="Arial" w:cs="Arial"/>
        </w:rPr>
        <w:t xml:space="preserve"> or </w:t>
      </w:r>
      <w:proofErr w:type="spellStart"/>
      <w:r w:rsidR="001E2C14" w:rsidRPr="00CD473F">
        <w:rPr>
          <w:rFonts w:ascii="Arial" w:hAnsi="Arial" w:cs="Arial"/>
        </w:rPr>
        <w:t>Vectashield</w:t>
      </w:r>
      <w:proofErr w:type="spellEnd"/>
      <w:r w:rsidR="00337E6F" w:rsidRPr="00CD473F">
        <w:rPr>
          <w:rFonts w:ascii="Arial" w:hAnsi="Arial" w:cs="Arial"/>
        </w:rPr>
        <w:t xml:space="preserve"> (Vector Laboratories, H-1000)</w:t>
      </w:r>
      <w:r w:rsidR="001E2C14" w:rsidRPr="00CD473F">
        <w:rPr>
          <w:rFonts w:ascii="Arial" w:hAnsi="Arial" w:cs="Arial"/>
        </w:rPr>
        <w:t xml:space="preserve"> and coverslip. For higher resolution </w:t>
      </w:r>
      <w:r w:rsidR="00337E6F" w:rsidRPr="00CD473F">
        <w:rPr>
          <w:rFonts w:ascii="Arial" w:hAnsi="Arial" w:cs="Arial"/>
        </w:rPr>
        <w:t>imaging,</w:t>
      </w:r>
      <w:r w:rsidR="001E2C14" w:rsidRPr="00CD473F">
        <w:rPr>
          <w:rFonts w:ascii="Arial" w:hAnsi="Arial" w:cs="Arial"/>
        </w:rPr>
        <w:t xml:space="preserve"> use a </w:t>
      </w:r>
      <w:proofErr w:type="spellStart"/>
      <w:r w:rsidR="001E2C14" w:rsidRPr="00CD473F">
        <w:rPr>
          <w:rFonts w:ascii="Arial" w:hAnsi="Arial" w:cs="Arial"/>
        </w:rPr>
        <w:t>hardset</w:t>
      </w:r>
      <w:proofErr w:type="spellEnd"/>
      <w:r w:rsidR="001E2C14" w:rsidRPr="00CD473F">
        <w:rPr>
          <w:rFonts w:ascii="Arial" w:hAnsi="Arial" w:cs="Arial"/>
        </w:rPr>
        <w:t xml:space="preserve"> mounting medium with better optical clarity like Prolong Gold.</w:t>
      </w:r>
    </w:p>
    <w:p w:rsidR="00CC19CB" w:rsidRPr="00B110CA" w:rsidRDefault="00CC19CB" w:rsidP="00B110C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Following mounting with aqueous medium (PBS/glycerol or </w:t>
      </w:r>
      <w:proofErr w:type="spellStart"/>
      <w:r w:rsidRPr="00CD473F">
        <w:rPr>
          <w:rFonts w:ascii="Arial" w:hAnsi="Arial" w:cs="Arial"/>
        </w:rPr>
        <w:t>Vectashield</w:t>
      </w:r>
      <w:proofErr w:type="spellEnd"/>
      <w:r w:rsidRPr="00CD473F">
        <w:rPr>
          <w:rFonts w:ascii="Arial" w:hAnsi="Arial" w:cs="Arial"/>
        </w:rPr>
        <w:t xml:space="preserve">), drain excess mounting from underneath coverslip by standing slides vertical on a paper towel for ~5 minutes. This adheres the coverslip to the slide and prevents the formation of air pockets underneath your coverslip over time. Slides </w:t>
      </w:r>
      <w:proofErr w:type="gramStart"/>
      <w:r w:rsidRPr="00CD473F">
        <w:rPr>
          <w:rFonts w:ascii="Arial" w:hAnsi="Arial" w:cs="Arial"/>
        </w:rPr>
        <w:t>are sufficiently drained</w:t>
      </w:r>
      <w:proofErr w:type="gramEnd"/>
      <w:r w:rsidRPr="00CD473F">
        <w:rPr>
          <w:rFonts w:ascii="Arial" w:hAnsi="Arial" w:cs="Arial"/>
        </w:rPr>
        <w:t xml:space="preserve"> when no more medium leaks out from under the coverslip.</w:t>
      </w:r>
    </w:p>
    <w:p w:rsidR="0011044F" w:rsidRPr="008A7EE0" w:rsidRDefault="00CC19CB" w:rsidP="008A7EE0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Once </w:t>
      </w:r>
      <w:proofErr w:type="spellStart"/>
      <w:r w:rsidRPr="00CD473F">
        <w:rPr>
          <w:rFonts w:ascii="Arial" w:hAnsi="Arial" w:cs="Arial"/>
        </w:rPr>
        <w:t>coverslipped</w:t>
      </w:r>
      <w:proofErr w:type="spellEnd"/>
      <w:r w:rsidRPr="00CD473F">
        <w:rPr>
          <w:rFonts w:ascii="Arial" w:hAnsi="Arial" w:cs="Arial"/>
        </w:rPr>
        <w:t xml:space="preserve">, slides can be imaged or stored at </w:t>
      </w:r>
      <w:proofErr w:type="gramStart"/>
      <w:r w:rsidRPr="00CD473F">
        <w:rPr>
          <w:rFonts w:ascii="Arial" w:hAnsi="Arial" w:cs="Arial"/>
        </w:rPr>
        <w:t>4</w:t>
      </w:r>
      <w:proofErr w:type="gramEnd"/>
      <w:r w:rsidRPr="00CD473F">
        <w:rPr>
          <w:rFonts w:ascii="Arial" w:hAnsi="Arial" w:cs="Arial"/>
        </w:rPr>
        <w:t xml:space="preserve"> ºC. For </w:t>
      </w:r>
      <w:r w:rsidR="0011044F" w:rsidRPr="00CD473F">
        <w:rPr>
          <w:rFonts w:ascii="Arial" w:hAnsi="Arial" w:cs="Arial"/>
        </w:rPr>
        <w:t>long-term</w:t>
      </w:r>
      <w:r w:rsidRPr="00CD473F">
        <w:rPr>
          <w:rFonts w:ascii="Arial" w:hAnsi="Arial" w:cs="Arial"/>
        </w:rPr>
        <w:t xml:space="preserve"> storage, coverslip edges </w:t>
      </w:r>
      <w:proofErr w:type="gramStart"/>
      <w:r w:rsidRPr="00CD473F">
        <w:rPr>
          <w:rFonts w:ascii="Arial" w:hAnsi="Arial" w:cs="Arial"/>
        </w:rPr>
        <w:t>can be sealed</w:t>
      </w:r>
      <w:proofErr w:type="gramEnd"/>
      <w:r w:rsidRPr="00CD473F">
        <w:rPr>
          <w:rFonts w:ascii="Arial" w:hAnsi="Arial" w:cs="Arial"/>
        </w:rPr>
        <w:t xml:space="preserve"> with clear nail polish to prevent air from getting under the coverslip over time. If stored correctly, in the dark, staining will last for several months.</w:t>
      </w:r>
    </w:p>
    <w:p w:rsidR="001E2C14" w:rsidRPr="00CD473F" w:rsidRDefault="001E2C14" w:rsidP="00CD47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CD473F">
        <w:rPr>
          <w:rFonts w:ascii="Arial" w:hAnsi="Arial" w:cs="Arial"/>
          <w:b/>
          <w:sz w:val="24"/>
          <w:szCs w:val="24"/>
          <w:u w:val="single"/>
        </w:rPr>
        <w:t>Recipes:</w:t>
      </w:r>
    </w:p>
    <w:p w:rsidR="00A85C62" w:rsidRDefault="003353A7" w:rsidP="00E1714E">
      <w:pPr>
        <w:pStyle w:val="ListParagraph"/>
        <w:numPr>
          <w:ilvl w:val="0"/>
          <w:numId w:val="6"/>
        </w:numPr>
        <w:spacing w:after="60" w:line="259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1DA5C491" wp14:editId="7B72BD6C">
            <wp:simplePos x="0" y="0"/>
            <wp:positionH relativeFrom="margin">
              <wp:posOffset>5705475</wp:posOffset>
            </wp:positionH>
            <wp:positionV relativeFrom="paragraph">
              <wp:posOffset>-724535</wp:posOffset>
            </wp:positionV>
            <wp:extent cx="1133475" cy="5524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62">
        <w:rPr>
          <w:rFonts w:ascii="Arial" w:hAnsi="Arial" w:cs="Arial"/>
        </w:rPr>
        <w:t>4% PFA</w:t>
      </w:r>
    </w:p>
    <w:p w:rsidR="008A7EE0" w:rsidRDefault="00E1714E" w:rsidP="00F933F4">
      <w:pPr>
        <w:pStyle w:val="ListParagraph"/>
        <w:numPr>
          <w:ilvl w:val="1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Place 800</w:t>
      </w:r>
      <w:r w:rsidR="008A7EE0">
        <w:rPr>
          <w:rFonts w:ascii="Arial" w:hAnsi="Arial" w:cs="Arial"/>
        </w:rPr>
        <w:t xml:space="preserve"> mL of 1x PBS in a glass beaker and heat to 60 ºC on a stirring hot plate</w:t>
      </w:r>
    </w:p>
    <w:p w:rsidR="008A7EE0" w:rsidRDefault="008A7EE0" w:rsidP="00F933F4">
      <w:pPr>
        <w:pStyle w:val="ListParagraph"/>
        <w:numPr>
          <w:ilvl w:val="1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While stirring, add 20 g of paraformaldehyde powder </w:t>
      </w:r>
      <w:r w:rsidR="00A85C62">
        <w:rPr>
          <w:rFonts w:ascii="Arial" w:hAnsi="Arial" w:cs="Arial"/>
        </w:rPr>
        <w:t>(VWR, 200058-220)</w:t>
      </w:r>
      <w:r>
        <w:rPr>
          <w:rFonts w:ascii="Arial" w:hAnsi="Arial" w:cs="Arial"/>
        </w:rPr>
        <w:t>, cover and maintain at 60 ºC (**DO NOT heat above 70 ºC or PFA will break down)</w:t>
      </w:r>
    </w:p>
    <w:p w:rsidR="008A7EE0" w:rsidRDefault="008A7EE0" w:rsidP="00F933F4">
      <w:pPr>
        <w:pStyle w:val="ListParagraph"/>
        <w:numPr>
          <w:ilvl w:val="1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Add 5 drops of 2N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(1 drop/100 mL). The solution should clear within a couple of minutes</w:t>
      </w:r>
      <w:r w:rsidR="00746CBB">
        <w:rPr>
          <w:rFonts w:ascii="Arial" w:hAnsi="Arial" w:cs="Arial"/>
        </w:rPr>
        <w:t xml:space="preserve"> (some fine particles will remain and </w:t>
      </w:r>
      <w:proofErr w:type="gramStart"/>
      <w:r w:rsidR="00746CBB">
        <w:rPr>
          <w:rFonts w:ascii="Arial" w:hAnsi="Arial" w:cs="Arial"/>
        </w:rPr>
        <w:t>will be filtered out</w:t>
      </w:r>
      <w:proofErr w:type="gramEnd"/>
      <w:r w:rsidR="00746CBB">
        <w:rPr>
          <w:rFonts w:ascii="Arial" w:hAnsi="Arial" w:cs="Arial"/>
        </w:rPr>
        <w:t xml:space="preserve"> at the end).</w:t>
      </w:r>
    </w:p>
    <w:p w:rsidR="00746CBB" w:rsidRDefault="00E1714E" w:rsidP="00F933F4">
      <w:pPr>
        <w:pStyle w:val="ListParagraph"/>
        <w:numPr>
          <w:ilvl w:val="1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Remove from heat, allow to cool and add 195</w:t>
      </w:r>
      <w:r w:rsidR="00746CBB">
        <w:rPr>
          <w:rFonts w:ascii="Arial" w:hAnsi="Arial" w:cs="Arial"/>
        </w:rPr>
        <w:t xml:space="preserve"> mL of 1x PBS</w:t>
      </w:r>
    </w:p>
    <w:p w:rsidR="00746CBB" w:rsidRDefault="00746CBB" w:rsidP="00F933F4">
      <w:pPr>
        <w:pStyle w:val="ListParagraph"/>
        <w:numPr>
          <w:ilvl w:val="1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Adjust </w:t>
      </w:r>
      <w:r w:rsidR="00E1714E">
        <w:rPr>
          <w:rFonts w:ascii="Arial" w:hAnsi="Arial" w:cs="Arial"/>
        </w:rPr>
        <w:t>pH to 7.2 and fill if needed to a final volume of 1 L with 1x PBS</w:t>
      </w:r>
    </w:p>
    <w:p w:rsidR="00E1714E" w:rsidRDefault="00E1714E" w:rsidP="00F933F4">
      <w:pPr>
        <w:pStyle w:val="ListParagraph"/>
        <w:numPr>
          <w:ilvl w:val="1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Filter with </w:t>
      </w:r>
      <w:proofErr w:type="spellStart"/>
      <w:r>
        <w:rPr>
          <w:rFonts w:ascii="Arial" w:hAnsi="Arial" w:cs="Arial"/>
        </w:rPr>
        <w:t>Whatman</w:t>
      </w:r>
      <w:proofErr w:type="spellEnd"/>
      <w:r>
        <w:rPr>
          <w:rFonts w:ascii="Arial" w:hAnsi="Arial" w:cs="Arial"/>
        </w:rPr>
        <w:t xml:space="preserve"> paper (#1), aliquot, foil wrap to protect from light and store at -20 ºC</w:t>
      </w:r>
    </w:p>
    <w:p w:rsidR="00E1714E" w:rsidRPr="00746CBB" w:rsidRDefault="00E1714E" w:rsidP="00F933F4">
      <w:pPr>
        <w:pStyle w:val="ListParagraph"/>
        <w:numPr>
          <w:ilvl w:val="2"/>
          <w:numId w:val="6"/>
        </w:numPr>
        <w:spacing w:line="259" w:lineRule="auto"/>
        <w:ind w:left="108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When aliquots </w:t>
      </w:r>
      <w:proofErr w:type="gramStart"/>
      <w:r>
        <w:rPr>
          <w:rFonts w:ascii="Arial" w:hAnsi="Arial" w:cs="Arial"/>
        </w:rPr>
        <w:t>are thawed</w:t>
      </w:r>
      <w:proofErr w:type="gramEnd"/>
      <w:r>
        <w:rPr>
          <w:rFonts w:ascii="Arial" w:hAnsi="Arial" w:cs="Arial"/>
        </w:rPr>
        <w:t xml:space="preserve">, PFA may fall out of suspension. If this happens, simply heat gently (~40 ºC) and vortex vigorously to </w:t>
      </w:r>
      <w:proofErr w:type="spellStart"/>
      <w:r>
        <w:rPr>
          <w:rFonts w:ascii="Arial" w:hAnsi="Arial" w:cs="Arial"/>
        </w:rPr>
        <w:t>resuspend</w:t>
      </w:r>
      <w:proofErr w:type="spellEnd"/>
    </w:p>
    <w:p w:rsidR="00F933F4" w:rsidRPr="00CD473F" w:rsidRDefault="00F933F4" w:rsidP="00F933F4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</w:rPr>
      </w:pPr>
      <w:r w:rsidRPr="00CD473F">
        <w:rPr>
          <w:rFonts w:ascii="Arial" w:hAnsi="Arial" w:cs="Arial"/>
        </w:rPr>
        <w:t>1x PBS</w:t>
      </w:r>
    </w:p>
    <w:p w:rsidR="00F933F4" w:rsidRPr="00CD473F" w:rsidRDefault="00F933F4" w:rsidP="00F933F4">
      <w:pPr>
        <w:pStyle w:val="ListParagraph"/>
        <w:numPr>
          <w:ilvl w:val="3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Mix 69.68 g </w:t>
      </w:r>
      <w:proofErr w:type="spellStart"/>
      <w:r w:rsidRPr="00CD473F">
        <w:rPr>
          <w:rFonts w:ascii="Arial" w:hAnsi="Arial" w:cs="Arial"/>
        </w:rPr>
        <w:t>NaCl</w:t>
      </w:r>
      <w:proofErr w:type="spellEnd"/>
      <w:r w:rsidRPr="00CD473F">
        <w:rPr>
          <w:rFonts w:ascii="Arial" w:hAnsi="Arial" w:cs="Arial"/>
        </w:rPr>
        <w:t xml:space="preserve"> , 17.36 g Na2HPO4</w:t>
      </w:r>
      <w:r w:rsidRPr="00CD473F">
        <w:rPr>
          <w:rFonts w:ascii="Arial" w:hAnsi="Arial" w:cs="Arial"/>
          <w:rtl/>
          <w:lang w:bidi="he-IL"/>
        </w:rPr>
        <w:t>־</w:t>
      </w:r>
      <w:r w:rsidRPr="00CD473F">
        <w:rPr>
          <w:rFonts w:ascii="Arial" w:hAnsi="Arial" w:cs="Arial"/>
        </w:rPr>
        <w:t xml:space="preserve">7 H2O, 2.08 g KH2PO4 </w:t>
      </w:r>
    </w:p>
    <w:p w:rsidR="00F933F4" w:rsidRPr="00CD473F" w:rsidRDefault="00F933F4" w:rsidP="00F933F4">
      <w:pPr>
        <w:pStyle w:val="ListParagraph"/>
        <w:numPr>
          <w:ilvl w:val="3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Stir to dissolve in DI water</w:t>
      </w:r>
    </w:p>
    <w:p w:rsidR="00F933F4" w:rsidRPr="00CD473F" w:rsidRDefault="00F933F4" w:rsidP="00F933F4">
      <w:pPr>
        <w:pStyle w:val="ListParagraph"/>
        <w:numPr>
          <w:ilvl w:val="3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Dilute 10N </w:t>
      </w:r>
      <w:proofErr w:type="spellStart"/>
      <w:r w:rsidRPr="00CD473F">
        <w:rPr>
          <w:rFonts w:ascii="Arial" w:hAnsi="Arial" w:cs="Arial"/>
        </w:rPr>
        <w:t>NaOH</w:t>
      </w:r>
      <w:proofErr w:type="spellEnd"/>
      <w:r w:rsidRPr="00CD473F">
        <w:rPr>
          <w:rFonts w:ascii="Arial" w:hAnsi="Arial" w:cs="Arial"/>
        </w:rPr>
        <w:t xml:space="preserve"> 1:5 with DI water to make a 2N solution; dilute 6N </w:t>
      </w:r>
      <w:proofErr w:type="spellStart"/>
      <w:r w:rsidRPr="00CD473F">
        <w:rPr>
          <w:rFonts w:ascii="Arial" w:hAnsi="Arial" w:cs="Arial"/>
        </w:rPr>
        <w:t>HCl</w:t>
      </w:r>
      <w:proofErr w:type="spellEnd"/>
      <w:r w:rsidRPr="00CD473F">
        <w:rPr>
          <w:rFonts w:ascii="Arial" w:hAnsi="Arial" w:cs="Arial"/>
        </w:rPr>
        <w:t xml:space="preserve"> 1:3 with DI water to make a 2N solution</w:t>
      </w:r>
    </w:p>
    <w:p w:rsidR="00F933F4" w:rsidRPr="00CD473F" w:rsidRDefault="00F933F4" w:rsidP="00F933F4">
      <w:pPr>
        <w:pStyle w:val="ListParagraph"/>
        <w:numPr>
          <w:ilvl w:val="3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pH PBS with 2N </w:t>
      </w:r>
      <w:proofErr w:type="spellStart"/>
      <w:r w:rsidRPr="00CD473F">
        <w:rPr>
          <w:rFonts w:ascii="Arial" w:hAnsi="Arial" w:cs="Arial"/>
        </w:rPr>
        <w:t>NaOH</w:t>
      </w:r>
      <w:proofErr w:type="spellEnd"/>
      <w:r w:rsidRPr="00CD473F">
        <w:rPr>
          <w:rFonts w:ascii="Arial" w:hAnsi="Arial" w:cs="Arial"/>
        </w:rPr>
        <w:t xml:space="preserve"> or </w:t>
      </w:r>
      <w:proofErr w:type="spellStart"/>
      <w:r w:rsidRPr="00CD473F">
        <w:rPr>
          <w:rFonts w:ascii="Arial" w:hAnsi="Arial" w:cs="Arial"/>
        </w:rPr>
        <w:t>HCl</w:t>
      </w:r>
      <w:proofErr w:type="spellEnd"/>
    </w:p>
    <w:p w:rsidR="00F933F4" w:rsidRDefault="00F933F4" w:rsidP="00F933F4">
      <w:pPr>
        <w:pStyle w:val="ListParagraph"/>
        <w:numPr>
          <w:ilvl w:val="3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Bring to a final volume of 8 L</w:t>
      </w:r>
    </w:p>
    <w:p w:rsidR="00F933F4" w:rsidRDefault="00F933F4" w:rsidP="00F933F4">
      <w:pPr>
        <w:pStyle w:val="ListParagraph"/>
        <w:numPr>
          <w:ilvl w:val="3"/>
          <w:numId w:val="6"/>
        </w:numPr>
        <w:spacing w:line="240" w:lineRule="auto"/>
        <w:ind w:left="720"/>
        <w:contextualSpacing w:val="0"/>
        <w:rPr>
          <w:rFonts w:ascii="Arial" w:hAnsi="Arial" w:cs="Arial"/>
        </w:rPr>
      </w:pPr>
      <w:r w:rsidRPr="00F933F4">
        <w:rPr>
          <w:rFonts w:ascii="Arial" w:hAnsi="Arial" w:cs="Arial"/>
        </w:rPr>
        <w:t xml:space="preserve">1x PBS can be kept at room temperature for up to 3 months </w:t>
      </w:r>
    </w:p>
    <w:p w:rsidR="00337E6F" w:rsidRDefault="00D33BC1" w:rsidP="00F933F4">
      <w:pPr>
        <w:pStyle w:val="ListParagraph"/>
        <w:numPr>
          <w:ilvl w:val="0"/>
          <w:numId w:val="6"/>
        </w:numPr>
        <w:spacing w:line="259" w:lineRule="auto"/>
        <w:ind w:left="360"/>
        <w:contextualSpacing w:val="0"/>
        <w:rPr>
          <w:rFonts w:ascii="Arial" w:hAnsi="Arial" w:cs="Arial"/>
        </w:rPr>
      </w:pPr>
      <w:r w:rsidRPr="00F933F4">
        <w:rPr>
          <w:rFonts w:ascii="Arial" w:hAnsi="Arial" w:cs="Arial"/>
        </w:rPr>
        <w:t>3% Hydrogen peroxide – dilute 30% hydrogen peroxide 1:10 in 1x PBS</w:t>
      </w:r>
      <w:r w:rsidR="00A85C62" w:rsidRPr="00F933F4">
        <w:rPr>
          <w:rFonts w:ascii="Arial" w:hAnsi="Arial" w:cs="Arial"/>
        </w:rPr>
        <w:t xml:space="preserve"> (VWR, BDH7690-1)</w:t>
      </w:r>
    </w:p>
    <w:p w:rsidR="00F933F4" w:rsidRDefault="00F933F4" w:rsidP="00F933F4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mM</w:t>
      </w:r>
      <w:proofErr w:type="spellEnd"/>
      <w:r>
        <w:rPr>
          <w:rFonts w:ascii="Arial" w:hAnsi="Arial" w:cs="Arial"/>
        </w:rPr>
        <w:t xml:space="preserve"> Sodium Citrate buffer, pH 6 </w:t>
      </w:r>
    </w:p>
    <w:p w:rsidR="00F933F4" w:rsidRDefault="00F933F4" w:rsidP="003477CD">
      <w:pPr>
        <w:pStyle w:val="ListParagraph"/>
        <w:numPr>
          <w:ilvl w:val="1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Add 2.94 g Tri-sodium citrate, dehydrate (VWR,  ) to 800 mL distilled water</w:t>
      </w:r>
    </w:p>
    <w:p w:rsidR="00F933F4" w:rsidRDefault="00F933F4" w:rsidP="003477CD">
      <w:pPr>
        <w:pStyle w:val="ListParagraph"/>
        <w:numPr>
          <w:ilvl w:val="1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Stir to dissolve fill to 1 L with distilled water and pH to 6</w:t>
      </w:r>
    </w:p>
    <w:p w:rsidR="00F933F4" w:rsidRPr="00F933F4" w:rsidRDefault="00F933F4" w:rsidP="003477CD">
      <w:pPr>
        <w:pStyle w:val="ListParagraph"/>
        <w:numPr>
          <w:ilvl w:val="1"/>
          <w:numId w:val="6"/>
        </w:numPr>
        <w:spacing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Store at 4 ºC </w:t>
      </w:r>
    </w:p>
    <w:p w:rsidR="001E2C14" w:rsidRPr="00CD473F" w:rsidRDefault="001E2C14" w:rsidP="00F933F4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Gt α-</w:t>
      </w:r>
      <w:proofErr w:type="spellStart"/>
      <w:r w:rsidRPr="00CD473F">
        <w:rPr>
          <w:rFonts w:ascii="Arial" w:hAnsi="Arial" w:cs="Arial"/>
        </w:rPr>
        <w:t>Ms</w:t>
      </w:r>
      <w:proofErr w:type="spellEnd"/>
      <w:r w:rsidRPr="00CD473F">
        <w:rPr>
          <w:rFonts w:ascii="Arial" w:hAnsi="Arial" w:cs="Arial"/>
        </w:rPr>
        <w:t xml:space="preserve"> IgG1 biotin stock</w:t>
      </w:r>
    </w:p>
    <w:p w:rsidR="00D33BC1" w:rsidRPr="00CD473F" w:rsidRDefault="00D33BC1" w:rsidP="003477CD">
      <w:pPr>
        <w:pStyle w:val="ListParagraph"/>
        <w:numPr>
          <w:ilvl w:val="3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 xml:space="preserve">Dissolve ~1 mg/ml (lot specific) in 250 µl of distilled water and transfer to a 1 ml </w:t>
      </w:r>
      <w:proofErr w:type="spellStart"/>
      <w:r w:rsidRPr="00CD473F">
        <w:rPr>
          <w:rFonts w:ascii="Arial" w:hAnsi="Arial" w:cs="Arial"/>
        </w:rPr>
        <w:t>eppendorf</w:t>
      </w:r>
      <w:proofErr w:type="spellEnd"/>
      <w:r w:rsidRPr="00CD473F">
        <w:rPr>
          <w:rFonts w:ascii="Arial" w:hAnsi="Arial" w:cs="Arial"/>
        </w:rPr>
        <w:t xml:space="preserve"> tube</w:t>
      </w:r>
    </w:p>
    <w:p w:rsidR="00D33BC1" w:rsidRPr="00CD473F" w:rsidRDefault="00D33BC1" w:rsidP="003477CD">
      <w:pPr>
        <w:pStyle w:val="ListParagraph"/>
        <w:numPr>
          <w:ilvl w:val="3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Add 250 µl of glycerol and vortex well to mix</w:t>
      </w:r>
    </w:p>
    <w:p w:rsidR="00D33BC1" w:rsidRPr="00CD473F" w:rsidRDefault="00D33BC1" w:rsidP="003477CD">
      <w:pPr>
        <w:pStyle w:val="ListParagraph"/>
        <w:numPr>
          <w:ilvl w:val="3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Aliquot and store at -20 ºC</w:t>
      </w:r>
    </w:p>
    <w:p w:rsidR="00D33BC1" w:rsidRPr="00CD473F" w:rsidRDefault="00D33BC1" w:rsidP="003477CD">
      <w:pPr>
        <w:pStyle w:val="ListParagraph"/>
        <w:numPr>
          <w:ilvl w:val="3"/>
          <w:numId w:val="6"/>
        </w:numPr>
        <w:spacing w:line="240" w:lineRule="auto"/>
        <w:ind w:left="72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Resuspension volume can be adjusted for a total of 1 ml vs 500 µl, then use at a dilution of 1:500 instead of 1:1000</w:t>
      </w:r>
    </w:p>
    <w:p w:rsidR="001E2C14" w:rsidRPr="00CD473F" w:rsidRDefault="00D33BC1" w:rsidP="00F933F4">
      <w:pPr>
        <w:pStyle w:val="ListParagraph"/>
        <w:numPr>
          <w:ilvl w:val="0"/>
          <w:numId w:val="6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Streptavidin-horseradish peroxidase (</w:t>
      </w:r>
      <w:r w:rsidR="001E2C14" w:rsidRPr="00CD473F">
        <w:rPr>
          <w:rFonts w:ascii="Arial" w:hAnsi="Arial" w:cs="Arial"/>
        </w:rPr>
        <w:t>SA-HRP</w:t>
      </w:r>
      <w:r w:rsidRPr="00CD473F">
        <w:rPr>
          <w:rFonts w:ascii="Arial" w:hAnsi="Arial" w:cs="Arial"/>
        </w:rPr>
        <w:t>)</w:t>
      </w:r>
      <w:r w:rsidR="001E2C14" w:rsidRPr="00CD473F">
        <w:rPr>
          <w:rFonts w:ascii="Arial" w:hAnsi="Arial" w:cs="Arial"/>
        </w:rPr>
        <w:t xml:space="preserve"> stock</w:t>
      </w:r>
      <w:r w:rsidRPr="00CD473F">
        <w:rPr>
          <w:rFonts w:ascii="Arial" w:hAnsi="Arial" w:cs="Arial"/>
        </w:rPr>
        <w:t xml:space="preserve"> – add 400 µl 1x PBS to 1 mg of lyophilized SA-HRP and vortex well to dissolve. Aliquot and store at -20 ºC.</w:t>
      </w:r>
    </w:p>
    <w:p w:rsidR="001E2C14" w:rsidRPr="00CD473F" w:rsidRDefault="001E2C14" w:rsidP="00F933F4">
      <w:pPr>
        <w:pStyle w:val="ListParagraph"/>
        <w:numPr>
          <w:ilvl w:val="0"/>
          <w:numId w:val="6"/>
        </w:numPr>
        <w:spacing w:line="240" w:lineRule="auto"/>
        <w:ind w:left="360"/>
        <w:contextualSpacing w:val="0"/>
        <w:rPr>
          <w:rFonts w:ascii="Arial" w:hAnsi="Arial" w:cs="Arial"/>
        </w:rPr>
      </w:pPr>
      <w:proofErr w:type="spellStart"/>
      <w:r w:rsidRPr="00CD473F">
        <w:rPr>
          <w:rFonts w:ascii="Arial" w:hAnsi="Arial" w:cs="Arial"/>
        </w:rPr>
        <w:t>Superboost</w:t>
      </w:r>
      <w:proofErr w:type="spellEnd"/>
      <w:r w:rsidRPr="00CD473F">
        <w:rPr>
          <w:rFonts w:ascii="Arial" w:hAnsi="Arial" w:cs="Arial"/>
        </w:rPr>
        <w:t xml:space="preserve"> TSA AF594 stock</w:t>
      </w:r>
      <w:r w:rsidR="00D33BC1" w:rsidRPr="00CD473F">
        <w:rPr>
          <w:rFonts w:ascii="Arial" w:hAnsi="Arial" w:cs="Arial"/>
        </w:rPr>
        <w:t xml:space="preserve"> – </w:t>
      </w:r>
      <w:proofErr w:type="spellStart"/>
      <w:r w:rsidR="00D33BC1" w:rsidRPr="00CD473F">
        <w:rPr>
          <w:rFonts w:ascii="Arial" w:hAnsi="Arial" w:cs="Arial"/>
        </w:rPr>
        <w:t>resuspend</w:t>
      </w:r>
      <w:proofErr w:type="spellEnd"/>
      <w:r w:rsidR="00D33BC1" w:rsidRPr="00CD473F">
        <w:rPr>
          <w:rFonts w:ascii="Arial" w:hAnsi="Arial" w:cs="Arial"/>
        </w:rPr>
        <w:t xml:space="preserve"> </w:t>
      </w:r>
      <w:r w:rsidR="00F50A0D" w:rsidRPr="00CD473F">
        <w:rPr>
          <w:rFonts w:ascii="Arial" w:hAnsi="Arial" w:cs="Arial"/>
        </w:rPr>
        <w:t>in 15</w:t>
      </w:r>
      <w:r w:rsidR="00D33BC1" w:rsidRPr="00CD473F">
        <w:rPr>
          <w:rFonts w:ascii="Arial" w:hAnsi="Arial" w:cs="Arial"/>
        </w:rPr>
        <w:t>0 µl of DMSO</w:t>
      </w:r>
      <w:r w:rsidR="00F50A0D" w:rsidRPr="00CD473F">
        <w:rPr>
          <w:rFonts w:ascii="Arial" w:hAnsi="Arial" w:cs="Arial"/>
        </w:rPr>
        <w:t>, vortex well to</w:t>
      </w:r>
      <w:bookmarkStart w:id="0" w:name="_GoBack"/>
      <w:bookmarkEnd w:id="0"/>
      <w:r w:rsidR="00F50A0D" w:rsidRPr="00CD473F">
        <w:rPr>
          <w:rFonts w:ascii="Arial" w:hAnsi="Arial" w:cs="Arial"/>
        </w:rPr>
        <w:t xml:space="preserve"> dissolve completely, aliquot and store at -20 ºC</w:t>
      </w:r>
    </w:p>
    <w:p w:rsidR="00337E6F" w:rsidRPr="00CD473F" w:rsidRDefault="00337E6F" w:rsidP="00F933F4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DAPI for staining cell nuclei</w:t>
      </w:r>
    </w:p>
    <w:p w:rsidR="00337E6F" w:rsidRPr="00CD473F" w:rsidRDefault="00337E6F" w:rsidP="003477CD">
      <w:pPr>
        <w:pStyle w:val="ListParagraph"/>
        <w:numPr>
          <w:ilvl w:val="3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Prepare a 5mg/ml stock solution by diluting in 1x PBS</w:t>
      </w:r>
    </w:p>
    <w:p w:rsidR="00337E6F" w:rsidRPr="00CD473F" w:rsidRDefault="00337E6F" w:rsidP="003477CD">
      <w:pPr>
        <w:pStyle w:val="ListParagraph"/>
        <w:numPr>
          <w:ilvl w:val="3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CD473F">
        <w:rPr>
          <w:rFonts w:ascii="Arial" w:hAnsi="Arial" w:cs="Arial"/>
        </w:rPr>
        <w:t>Aliquot and store at -20ºC</w:t>
      </w:r>
    </w:p>
    <w:p w:rsidR="00F50A0D" w:rsidRDefault="003353A7" w:rsidP="003477CD">
      <w:pPr>
        <w:pStyle w:val="ListParagraph"/>
        <w:numPr>
          <w:ilvl w:val="3"/>
          <w:numId w:val="6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1DA5C491" wp14:editId="7B72BD6C">
            <wp:simplePos x="0" y="0"/>
            <wp:positionH relativeFrom="margin">
              <wp:align>right</wp:align>
            </wp:positionH>
            <wp:positionV relativeFrom="paragraph">
              <wp:posOffset>-737870</wp:posOffset>
            </wp:positionV>
            <wp:extent cx="1133475" cy="5524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E6F" w:rsidRPr="00CD473F">
        <w:rPr>
          <w:rFonts w:ascii="Arial" w:hAnsi="Arial" w:cs="Arial"/>
        </w:rPr>
        <w:t>A working dilution of 1:10,000 in 1x PBS is used for labelling nuclei</w:t>
      </w:r>
    </w:p>
    <w:p w:rsidR="008A7EE0" w:rsidRPr="008A7EE0" w:rsidRDefault="008A7EE0" w:rsidP="008A7EE0">
      <w:pPr>
        <w:spacing w:after="160" w:line="259" w:lineRule="auto"/>
        <w:rPr>
          <w:rFonts w:ascii="Arial" w:hAnsi="Arial" w:cs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2403"/>
        <w:gridCol w:w="2318"/>
        <w:gridCol w:w="2316"/>
        <w:gridCol w:w="2283"/>
      </w:tblGrid>
      <w:tr w:rsidR="008A7EE0" w:rsidRPr="007305A4" w:rsidTr="008A7EE0">
        <w:tc>
          <w:tcPr>
            <w:tcW w:w="10772" w:type="dxa"/>
            <w:gridSpan w:val="5"/>
            <w:shd w:val="clear" w:color="auto" w:fill="CCC0D9"/>
            <w:vAlign w:val="center"/>
          </w:tcPr>
          <w:p w:rsidR="008A7EE0" w:rsidRPr="007305A4" w:rsidRDefault="008A7EE0" w:rsidP="008F55A6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7305A4">
              <w:rPr>
                <w:rFonts w:ascii="Arial" w:hAnsi="Arial" w:cs="Arial"/>
                <w:b/>
              </w:rPr>
              <w:t>Possible Staining/Channel Combinations with our Antibodies and Filter Sets</w:t>
            </w:r>
          </w:p>
        </w:tc>
      </w:tr>
      <w:tr w:rsidR="008A7EE0" w:rsidRPr="007305A4" w:rsidTr="008A7EE0">
        <w:tc>
          <w:tcPr>
            <w:tcW w:w="1452" w:type="dxa"/>
            <w:shd w:val="clear" w:color="auto" w:fill="auto"/>
            <w:vAlign w:val="center"/>
          </w:tcPr>
          <w:p w:rsidR="008A7EE0" w:rsidRPr="007305A4" w:rsidRDefault="008A7EE0" w:rsidP="008F55A6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7305A4">
              <w:rPr>
                <w:rFonts w:ascii="Arial" w:hAnsi="Arial" w:cs="Arial"/>
                <w:b/>
              </w:rPr>
              <w:t>Antibody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A7EE0" w:rsidRPr="007305A4" w:rsidRDefault="008A7EE0" w:rsidP="008F55A6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7305A4">
              <w:rPr>
                <w:rFonts w:ascii="Arial" w:hAnsi="Arial" w:cs="Arial"/>
                <w:b/>
              </w:rPr>
              <w:t>Secondary/Channel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8A7EE0" w:rsidRPr="007305A4" w:rsidRDefault="008A7EE0" w:rsidP="008F55A6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7305A4">
              <w:rPr>
                <w:rFonts w:ascii="Arial" w:hAnsi="Arial" w:cs="Arial"/>
                <w:b/>
              </w:rPr>
              <w:t>Secondary/Channel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8A7EE0" w:rsidRPr="007305A4" w:rsidRDefault="008A7EE0" w:rsidP="008F55A6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7305A4">
              <w:rPr>
                <w:rFonts w:ascii="Arial" w:hAnsi="Arial" w:cs="Arial"/>
                <w:b/>
              </w:rPr>
              <w:t>Secondary/Channel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A7EE0" w:rsidRPr="007305A4" w:rsidRDefault="008A7EE0" w:rsidP="008F55A6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7305A4">
              <w:rPr>
                <w:rFonts w:ascii="Arial" w:hAnsi="Arial" w:cs="Arial"/>
                <w:b/>
              </w:rPr>
              <w:t>Secondary/Channel</w:t>
            </w:r>
          </w:p>
        </w:tc>
      </w:tr>
      <w:tr w:rsidR="008A7EE0" w:rsidRPr="007305A4" w:rsidTr="008A7EE0">
        <w:tc>
          <w:tcPr>
            <w:tcW w:w="1452" w:type="dxa"/>
            <w:shd w:val="clear" w:color="auto" w:fill="auto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Pax7</w:t>
            </w:r>
          </w:p>
        </w:tc>
        <w:tc>
          <w:tcPr>
            <w:tcW w:w="2403" w:type="dxa"/>
            <w:shd w:val="clear" w:color="auto" w:fill="92D050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AF488/FITC.GFP</w:t>
            </w:r>
          </w:p>
        </w:tc>
        <w:tc>
          <w:tcPr>
            <w:tcW w:w="2318" w:type="dxa"/>
            <w:shd w:val="clear" w:color="auto" w:fill="C0504D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AF594/</w:t>
            </w:r>
            <w:proofErr w:type="spellStart"/>
            <w:r w:rsidRPr="007305A4">
              <w:rPr>
                <w:rFonts w:ascii="Arial" w:hAnsi="Arial" w:cs="Arial"/>
              </w:rPr>
              <w:t>TRITC.TxRed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AF488/FITC.GFP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AF647/Cy5</w:t>
            </w:r>
          </w:p>
        </w:tc>
      </w:tr>
      <w:tr w:rsidR="008A7EE0" w:rsidRPr="007305A4" w:rsidTr="008A7EE0">
        <w:tc>
          <w:tcPr>
            <w:tcW w:w="1452" w:type="dxa"/>
            <w:shd w:val="clear" w:color="auto" w:fill="auto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Type 1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AF647/Cy5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66CC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AF647/Cy5</w:t>
            </w:r>
          </w:p>
        </w:tc>
        <w:tc>
          <w:tcPr>
            <w:tcW w:w="23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8A7EE0" w:rsidRPr="007305A4" w:rsidTr="008A7EE0">
        <w:trPr>
          <w:trHeight w:val="602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proofErr w:type="spellStart"/>
            <w:r w:rsidRPr="007305A4">
              <w:rPr>
                <w:rFonts w:ascii="Arial" w:hAnsi="Arial" w:cs="Arial"/>
              </w:rPr>
              <w:t>Laminin</w:t>
            </w:r>
            <w:proofErr w:type="spellEnd"/>
            <w:r w:rsidRPr="007305A4">
              <w:rPr>
                <w:rFonts w:ascii="Arial" w:hAnsi="Arial" w:cs="Arial"/>
              </w:rPr>
              <w:t xml:space="preserve"> or Dystrophin</w:t>
            </w:r>
          </w:p>
        </w:tc>
        <w:tc>
          <w:tcPr>
            <w:tcW w:w="2403" w:type="dxa"/>
            <w:vMerge w:val="restart"/>
            <w:shd w:val="clear" w:color="auto" w:fill="C0504D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AF594/</w:t>
            </w:r>
            <w:proofErr w:type="spellStart"/>
            <w:r w:rsidRPr="007305A4">
              <w:rPr>
                <w:rFonts w:ascii="Arial" w:hAnsi="Arial" w:cs="Arial"/>
              </w:rPr>
              <w:t>TRITC.TxRed</w:t>
            </w:r>
            <w:proofErr w:type="spellEnd"/>
          </w:p>
        </w:tc>
        <w:tc>
          <w:tcPr>
            <w:tcW w:w="2318" w:type="dxa"/>
            <w:vMerge w:val="restart"/>
            <w:shd w:val="clear" w:color="auto" w:fill="92D050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AF488/FITC.GFP</w:t>
            </w:r>
          </w:p>
        </w:tc>
        <w:tc>
          <w:tcPr>
            <w:tcW w:w="2316" w:type="dxa"/>
            <w:shd w:val="clear" w:color="auto" w:fill="FF66CC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AF647/Cy5</w:t>
            </w:r>
          </w:p>
        </w:tc>
        <w:tc>
          <w:tcPr>
            <w:tcW w:w="2283" w:type="dxa"/>
            <w:shd w:val="clear" w:color="auto" w:fill="92D050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AF488/FITC.GFP</w:t>
            </w:r>
          </w:p>
        </w:tc>
      </w:tr>
      <w:tr w:rsidR="008A7EE0" w:rsidRPr="007305A4" w:rsidTr="008A7EE0">
        <w:trPr>
          <w:trHeight w:val="368"/>
        </w:trPr>
        <w:tc>
          <w:tcPr>
            <w:tcW w:w="1452" w:type="dxa"/>
            <w:vMerge/>
            <w:shd w:val="clear" w:color="auto" w:fill="auto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shd w:val="clear" w:color="auto" w:fill="C0504D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  <w:shd w:val="clear" w:color="auto" w:fill="92D050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shd w:val="clear" w:color="auto" w:fill="C0504D" w:themeFill="accent2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AF594/</w:t>
            </w:r>
            <w:proofErr w:type="spellStart"/>
            <w:r w:rsidRPr="007305A4">
              <w:rPr>
                <w:rFonts w:ascii="Arial" w:hAnsi="Arial" w:cs="Arial"/>
              </w:rPr>
              <w:t>TRITC.TxRed</w:t>
            </w:r>
            <w:proofErr w:type="spellEnd"/>
          </w:p>
        </w:tc>
        <w:tc>
          <w:tcPr>
            <w:tcW w:w="2283" w:type="dxa"/>
            <w:shd w:val="clear" w:color="auto" w:fill="C0504D" w:themeFill="accent2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AF594/</w:t>
            </w:r>
            <w:proofErr w:type="spellStart"/>
            <w:r w:rsidRPr="007305A4">
              <w:rPr>
                <w:rFonts w:ascii="Arial" w:hAnsi="Arial" w:cs="Arial"/>
              </w:rPr>
              <w:t>TRITC.TxRed</w:t>
            </w:r>
            <w:proofErr w:type="spellEnd"/>
          </w:p>
        </w:tc>
      </w:tr>
      <w:tr w:rsidR="008A7EE0" w:rsidRPr="007305A4" w:rsidTr="008A7EE0">
        <w:trPr>
          <w:trHeight w:val="368"/>
        </w:trPr>
        <w:tc>
          <w:tcPr>
            <w:tcW w:w="1452" w:type="dxa"/>
            <w:shd w:val="clear" w:color="auto" w:fill="auto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Nuclei</w:t>
            </w:r>
          </w:p>
        </w:tc>
        <w:tc>
          <w:tcPr>
            <w:tcW w:w="2403" w:type="dxa"/>
            <w:shd w:val="clear" w:color="auto" w:fill="548DD4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DAPI</w:t>
            </w:r>
          </w:p>
        </w:tc>
        <w:tc>
          <w:tcPr>
            <w:tcW w:w="2318" w:type="dxa"/>
            <w:shd w:val="clear" w:color="auto" w:fill="548DD4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DAPI</w:t>
            </w:r>
          </w:p>
        </w:tc>
        <w:tc>
          <w:tcPr>
            <w:tcW w:w="2316" w:type="dxa"/>
            <w:shd w:val="clear" w:color="auto" w:fill="548DD4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DAPI</w:t>
            </w:r>
          </w:p>
        </w:tc>
        <w:tc>
          <w:tcPr>
            <w:tcW w:w="2283" w:type="dxa"/>
            <w:shd w:val="clear" w:color="auto" w:fill="548DD4"/>
            <w:vAlign w:val="center"/>
          </w:tcPr>
          <w:p w:rsidR="008A7EE0" w:rsidRPr="007305A4" w:rsidRDefault="008A7EE0" w:rsidP="008A7EE0">
            <w:pPr>
              <w:spacing w:after="240"/>
              <w:jc w:val="center"/>
              <w:rPr>
                <w:rFonts w:ascii="Arial" w:hAnsi="Arial" w:cs="Arial"/>
              </w:rPr>
            </w:pPr>
            <w:r w:rsidRPr="007305A4">
              <w:rPr>
                <w:rFonts w:ascii="Arial" w:hAnsi="Arial" w:cs="Arial"/>
              </w:rPr>
              <w:t>DAPI</w:t>
            </w:r>
          </w:p>
        </w:tc>
      </w:tr>
    </w:tbl>
    <w:p w:rsidR="00132502" w:rsidRPr="00132502" w:rsidRDefault="00132502" w:rsidP="00132502">
      <w:pPr>
        <w:rPr>
          <w:rFonts w:ascii="Times New Roman" w:hAnsi="Times New Roman" w:cs="Times New Roman"/>
          <w:sz w:val="24"/>
          <w:szCs w:val="24"/>
        </w:rPr>
      </w:pPr>
    </w:p>
    <w:sectPr w:rsidR="00132502" w:rsidRPr="00132502" w:rsidSect="006F7FF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FD" w:rsidRDefault="006F7FFD" w:rsidP="006F7FFD">
      <w:pPr>
        <w:spacing w:after="0" w:line="240" w:lineRule="auto"/>
      </w:pPr>
      <w:r>
        <w:separator/>
      </w:r>
    </w:p>
  </w:endnote>
  <w:endnote w:type="continuationSeparator" w:id="0">
    <w:p w:rsidR="006F7FFD" w:rsidRDefault="006F7FFD" w:rsidP="006F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7D6C1A" w:rsidRPr="00EF7D86" w:rsidTr="00401E3C">
      <w:tc>
        <w:tcPr>
          <w:tcW w:w="4500" w:type="pct"/>
          <w:tcBorders>
            <w:top w:val="single" w:sz="4" w:space="0" w:color="000000"/>
          </w:tcBorders>
        </w:tcPr>
        <w:p w:rsidR="007D6C1A" w:rsidRPr="002448CE" w:rsidRDefault="007D6C1A" w:rsidP="007D6C1A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2448CE">
            <w:rPr>
              <w:rFonts w:ascii="Arial" w:hAnsi="Arial" w:cs="Arial"/>
              <w:sz w:val="20"/>
              <w:szCs w:val="20"/>
            </w:rPr>
            <w:t>University of Kentucky, Center for Muscle Biology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2448CE">
            <w:rPr>
              <w:rFonts w:ascii="Arial" w:hAnsi="Arial" w:cs="Arial"/>
              <w:sz w:val="20"/>
              <w:szCs w:val="20"/>
            </w:rPr>
            <w:t>MIMIC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    </w:t>
          </w:r>
          <w:r w:rsidRPr="002448CE">
            <w:rPr>
              <w:rFonts w:ascii="Arial" w:hAnsi="Arial" w:cs="Arial"/>
              <w:sz w:val="20"/>
              <w:szCs w:val="20"/>
            </w:rPr>
            <w:t xml:space="preserve"> Last updated: 1/30/2018 by KK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244061" w:themeFill="accent1" w:themeFillShade="80"/>
        </w:tcPr>
        <w:p w:rsidR="007D6C1A" w:rsidRPr="00EF7D86" w:rsidRDefault="007D6C1A" w:rsidP="007D6C1A">
          <w:pPr>
            <w:pStyle w:val="Header"/>
            <w:rPr>
              <w:color w:val="FFFFFF"/>
            </w:rPr>
          </w:pPr>
          <w:r w:rsidRPr="00EF7D86">
            <w:fldChar w:fldCharType="begin"/>
          </w:r>
          <w:r>
            <w:instrText xml:space="preserve"> PAGE   \* MERGEFORMAT </w:instrText>
          </w:r>
          <w:r w:rsidRPr="00EF7D86">
            <w:fldChar w:fldCharType="separate"/>
          </w:r>
          <w:r w:rsidR="003353A7" w:rsidRPr="003353A7">
            <w:rPr>
              <w:noProof/>
              <w:color w:val="FFFFFF"/>
            </w:rPr>
            <w:t>4</w:t>
          </w:r>
          <w:r w:rsidRPr="00EF7D86">
            <w:rPr>
              <w:noProof/>
              <w:color w:val="FFFFFF"/>
            </w:rPr>
            <w:fldChar w:fldCharType="end"/>
          </w:r>
        </w:p>
      </w:tc>
    </w:tr>
  </w:tbl>
  <w:p w:rsidR="00C160B0" w:rsidRDefault="00C16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FD" w:rsidRDefault="006F7FFD" w:rsidP="006F7FFD">
      <w:pPr>
        <w:spacing w:after="0" w:line="240" w:lineRule="auto"/>
      </w:pPr>
      <w:r>
        <w:separator/>
      </w:r>
    </w:p>
  </w:footnote>
  <w:footnote w:type="continuationSeparator" w:id="0">
    <w:p w:rsidR="006F7FFD" w:rsidRDefault="006F7FFD" w:rsidP="006F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60"/>
      <w:gridCol w:w="3240"/>
    </w:tblGrid>
    <w:tr w:rsidR="006F7FFD" w:rsidTr="00080D3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80D34" w:rsidRDefault="00080D34" w:rsidP="00080D34">
          <w:pPr>
            <w:pStyle w:val="Header"/>
            <w:rPr>
              <w:b/>
              <w:bCs/>
              <w:color w:val="76923C" w:themeColor="accent3" w:themeShade="BF"/>
              <w:sz w:val="24"/>
              <w:szCs w:val="24"/>
            </w:rPr>
          </w:pPr>
          <w:r>
            <w:rPr>
              <w:rFonts w:ascii="Times New Roman" w:hAnsi="Times New Roman"/>
              <w:b/>
              <w:caps/>
              <w:sz w:val="24"/>
              <w:szCs w:val="24"/>
            </w:rPr>
            <w:t xml:space="preserve">fiber type specific identification of satellite cells on </w:t>
          </w:r>
          <w:r w:rsidR="00A85C62">
            <w:rPr>
              <w:rFonts w:ascii="Times New Roman" w:hAnsi="Times New Roman"/>
              <w:b/>
              <w:caps/>
              <w:sz w:val="24"/>
              <w:szCs w:val="24"/>
            </w:rPr>
            <w:t>mouse</w:t>
          </w:r>
          <w:r>
            <w:rPr>
              <w:rFonts w:ascii="Times New Roman" w:hAnsi="Times New Roman"/>
              <w:b/>
              <w:caps/>
              <w:sz w:val="24"/>
              <w:szCs w:val="24"/>
            </w:rPr>
            <w:t xml:space="preserve"> skeletal muscle cryosections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 xml:space="preserve"> </w:t>
          </w:r>
        </w:p>
        <w:p w:rsidR="00080D34" w:rsidRPr="00080D34" w:rsidRDefault="00080D34" w:rsidP="00080D34">
          <w:pPr>
            <w:pStyle w:val="Header"/>
            <w:rPr>
              <w:b/>
              <w:bCs/>
              <w:color w:val="76923C" w:themeColor="accent3" w:themeShade="BF"/>
              <w:sz w:val="24"/>
              <w:szCs w:val="24"/>
            </w:rPr>
          </w:pPr>
        </w:p>
      </w:tc>
      <w:sdt>
        <w:sdtPr>
          <w:rPr>
            <w:rFonts w:ascii="Arial" w:hAnsi="Arial" w:cs="Arial"/>
            <w:color w:val="FFFFFF" w:themeColor="background1"/>
          </w:rPr>
          <w:alias w:val="Date"/>
          <w:id w:val="77677290"/>
          <w:placeholder>
            <w:docPart w:val="1A354039F009415BAE34B6A878C5862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5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244061" w:themeFill="accent1" w:themeFillShade="80"/>
              <w:vAlign w:val="center"/>
            </w:tcPr>
            <w:p w:rsidR="006F7FFD" w:rsidRPr="00080D34" w:rsidRDefault="00B63E8E">
              <w:pPr>
                <w:pStyle w:val="Header"/>
                <w:rPr>
                  <w:rFonts w:ascii="Arial" w:hAnsi="Arial" w:cs="Arial"/>
                  <w:color w:val="FFFFFF" w:themeColor="background1"/>
                </w:rPr>
              </w:pPr>
              <w:r w:rsidRPr="00080D34">
                <w:rPr>
                  <w:rFonts w:ascii="Arial" w:hAnsi="Arial" w:cs="Arial"/>
                  <w:color w:val="FFFFFF" w:themeColor="background1"/>
                </w:rPr>
                <w:t>May 15, 2018</w:t>
              </w:r>
            </w:p>
          </w:tc>
        </w:sdtContent>
      </w:sdt>
    </w:tr>
  </w:tbl>
  <w:p w:rsidR="006F7FFD" w:rsidRDefault="006F7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899"/>
    <w:multiLevelType w:val="hybridMultilevel"/>
    <w:tmpl w:val="4ADC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8553E"/>
    <w:multiLevelType w:val="hybridMultilevel"/>
    <w:tmpl w:val="E27A0E22"/>
    <w:lvl w:ilvl="0" w:tplc="9E582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131C"/>
    <w:multiLevelType w:val="multilevel"/>
    <w:tmpl w:val="B414FB6E"/>
    <w:lvl w:ilvl="0">
      <w:start w:val="2"/>
      <w:numFmt w:val="decimal"/>
      <w:lvlText w:val="Day 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9732637"/>
    <w:multiLevelType w:val="hybridMultilevel"/>
    <w:tmpl w:val="785A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7668F"/>
    <w:multiLevelType w:val="hybridMultilevel"/>
    <w:tmpl w:val="FFC825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1F31"/>
    <w:multiLevelType w:val="hybridMultilevel"/>
    <w:tmpl w:val="B5A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46894"/>
    <w:multiLevelType w:val="hybridMultilevel"/>
    <w:tmpl w:val="87DC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2776D"/>
    <w:multiLevelType w:val="hybridMultilevel"/>
    <w:tmpl w:val="E76A73D8"/>
    <w:lvl w:ilvl="0" w:tplc="9E582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1C"/>
    <w:rsid w:val="00020293"/>
    <w:rsid w:val="00062832"/>
    <w:rsid w:val="00080D34"/>
    <w:rsid w:val="000E7185"/>
    <w:rsid w:val="0011044F"/>
    <w:rsid w:val="0011521C"/>
    <w:rsid w:val="00132502"/>
    <w:rsid w:val="0018414E"/>
    <w:rsid w:val="001A7B55"/>
    <w:rsid w:val="001E2C14"/>
    <w:rsid w:val="002529F3"/>
    <w:rsid w:val="003353A7"/>
    <w:rsid w:val="00337E6F"/>
    <w:rsid w:val="003477CD"/>
    <w:rsid w:val="004206E4"/>
    <w:rsid w:val="00450BE5"/>
    <w:rsid w:val="00494A5C"/>
    <w:rsid w:val="004A041D"/>
    <w:rsid w:val="004B47BD"/>
    <w:rsid w:val="00551C8C"/>
    <w:rsid w:val="00665015"/>
    <w:rsid w:val="006925C4"/>
    <w:rsid w:val="006B2EA2"/>
    <w:rsid w:val="006C357F"/>
    <w:rsid w:val="006F7FFD"/>
    <w:rsid w:val="00746CBB"/>
    <w:rsid w:val="007C30B6"/>
    <w:rsid w:val="007D6C1A"/>
    <w:rsid w:val="007E158E"/>
    <w:rsid w:val="008A7EE0"/>
    <w:rsid w:val="0095042E"/>
    <w:rsid w:val="00983767"/>
    <w:rsid w:val="00983833"/>
    <w:rsid w:val="009C06C1"/>
    <w:rsid w:val="00A25836"/>
    <w:rsid w:val="00A63AC1"/>
    <w:rsid w:val="00A85C62"/>
    <w:rsid w:val="00B110CA"/>
    <w:rsid w:val="00B63E8E"/>
    <w:rsid w:val="00BF4B11"/>
    <w:rsid w:val="00C160B0"/>
    <w:rsid w:val="00C36889"/>
    <w:rsid w:val="00C566A3"/>
    <w:rsid w:val="00C73BAA"/>
    <w:rsid w:val="00C87D05"/>
    <w:rsid w:val="00CC19CB"/>
    <w:rsid w:val="00CD473F"/>
    <w:rsid w:val="00D33BC1"/>
    <w:rsid w:val="00DB7C46"/>
    <w:rsid w:val="00E1714E"/>
    <w:rsid w:val="00EB79FF"/>
    <w:rsid w:val="00F13A1D"/>
    <w:rsid w:val="00F26485"/>
    <w:rsid w:val="00F50A0D"/>
    <w:rsid w:val="00F80A99"/>
    <w:rsid w:val="00F933F4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4C9370A-0D42-455A-8021-91413D8B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FD"/>
  </w:style>
  <w:style w:type="paragraph" w:styleId="Footer">
    <w:name w:val="footer"/>
    <w:basedOn w:val="Normal"/>
    <w:link w:val="FooterChar"/>
    <w:uiPriority w:val="99"/>
    <w:unhideWhenUsed/>
    <w:rsid w:val="006F7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FD"/>
  </w:style>
  <w:style w:type="paragraph" w:styleId="BalloonText">
    <w:name w:val="Balloon Text"/>
    <w:basedOn w:val="Normal"/>
    <w:link w:val="BalloonTextChar"/>
    <w:uiPriority w:val="99"/>
    <w:semiHidden/>
    <w:unhideWhenUsed/>
    <w:rsid w:val="006F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354039F009415BAE34B6A878C5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6B44-0BA4-4B06-98A4-9B33940F0E1B}"/>
      </w:docPartPr>
      <w:docPartBody>
        <w:p w:rsidR="00264E5D" w:rsidRDefault="00E85BC6" w:rsidP="00E85BC6">
          <w:pPr>
            <w:pStyle w:val="1A354039F009415BAE34B6A878C58627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C6"/>
    <w:rsid w:val="00264E5D"/>
    <w:rsid w:val="007D07F8"/>
    <w:rsid w:val="00E8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FFEDAEE88A4567897E7DF949CF6817">
    <w:name w:val="49FFEDAEE88A4567897E7DF949CF6817"/>
    <w:rsid w:val="00E85BC6"/>
  </w:style>
  <w:style w:type="paragraph" w:customStyle="1" w:styleId="3C1EF536FEDE480AB4411A4FD65B277D">
    <w:name w:val="3C1EF536FEDE480AB4411A4FD65B277D"/>
    <w:rsid w:val="00E85BC6"/>
  </w:style>
  <w:style w:type="paragraph" w:customStyle="1" w:styleId="878AD4354E2A4B00A4C31B6529DF0297">
    <w:name w:val="878AD4354E2A4B00A4C31B6529DF0297"/>
    <w:rsid w:val="00E85BC6"/>
  </w:style>
  <w:style w:type="paragraph" w:customStyle="1" w:styleId="CDB75E037488490FB020DDF879FCC32C">
    <w:name w:val="CDB75E037488490FB020DDF879FCC32C"/>
    <w:rsid w:val="00E85BC6"/>
  </w:style>
  <w:style w:type="paragraph" w:customStyle="1" w:styleId="1A354039F009415BAE34B6A878C58627">
    <w:name w:val="1A354039F009415BAE34B6A878C58627"/>
    <w:rsid w:val="00E85BC6"/>
  </w:style>
  <w:style w:type="paragraph" w:customStyle="1" w:styleId="6E668D5EAB2544E698307FC571DA804F">
    <w:name w:val="6E668D5EAB2544E698307FC571DA804F"/>
    <w:rsid w:val="00E85BC6"/>
  </w:style>
  <w:style w:type="paragraph" w:customStyle="1" w:styleId="1B90FE47924545F9A60FE16062B53F0A">
    <w:name w:val="1B90FE47924545F9A60FE16062B53F0A"/>
    <w:rsid w:val="007D07F8"/>
    <w:pPr>
      <w:spacing w:after="160" w:line="259" w:lineRule="auto"/>
    </w:pPr>
  </w:style>
  <w:style w:type="paragraph" w:customStyle="1" w:styleId="33EDCBB56C8C4610954E51561CF1CC14">
    <w:name w:val="33EDCBB56C8C4610954E51561CF1CC14"/>
    <w:rsid w:val="007D07F8"/>
    <w:pPr>
      <w:spacing w:after="160" w:line="259" w:lineRule="auto"/>
    </w:pPr>
  </w:style>
  <w:style w:type="paragraph" w:customStyle="1" w:styleId="F15B7A8A562C49E68D1FB33107454C0D">
    <w:name w:val="F15B7A8A562C49E68D1FB33107454C0D"/>
    <w:rsid w:val="007D07F8"/>
    <w:pPr>
      <w:spacing w:after="160" w:line="259" w:lineRule="auto"/>
    </w:pPr>
  </w:style>
  <w:style w:type="paragraph" w:customStyle="1" w:styleId="11CF7ABEA03A425BAC0F3DD6FFF71795">
    <w:name w:val="11CF7ABEA03A425BAC0F3DD6FFF71795"/>
    <w:rsid w:val="007D07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Laminin/MyHC 1 /PAX7 staining of human muscle sections</vt:lpstr>
    </vt:vector>
  </TitlesOfParts>
  <Company>University of Kentucky HealthCare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Laminin/MyHC 1 /PAX7 staining of human muscle sections</dc:title>
  <dc:creator>cfr223</dc:creator>
  <cp:lastModifiedBy>Kosmac, Kate</cp:lastModifiedBy>
  <cp:revision>3</cp:revision>
  <dcterms:created xsi:type="dcterms:W3CDTF">2018-06-19T14:54:00Z</dcterms:created>
  <dcterms:modified xsi:type="dcterms:W3CDTF">2019-03-14T19:48:00Z</dcterms:modified>
</cp:coreProperties>
</file>