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45" w:rsidRDefault="00695645" w:rsidP="00695645">
      <w:pPr>
        <w:pStyle w:val="Default"/>
      </w:pPr>
    </w:p>
    <w:p w:rsidR="00447DDE" w:rsidRDefault="00695645" w:rsidP="00695645">
      <w:pPr>
        <w:widowControl/>
        <w:tabs>
          <w:tab w:val="left" w:pos="0"/>
        </w:tabs>
        <w:autoSpaceDE/>
        <w:autoSpaceDN/>
        <w:adjustRightInd/>
        <w:jc w:val="center"/>
        <w:rPr>
          <w:rFonts w:ascii="Verdana" w:hAnsi="Verdana"/>
          <w:b/>
          <w:bCs/>
          <w:color w:val="000000" w:themeColor="text1"/>
          <w:sz w:val="24"/>
        </w:rPr>
      </w:pPr>
      <w:r w:rsidRPr="006E51FD">
        <w:rPr>
          <w:sz w:val="24"/>
        </w:rPr>
        <w:t xml:space="preserve"> </w:t>
      </w:r>
      <w:r w:rsidRPr="006E51FD">
        <w:rPr>
          <w:rFonts w:ascii="Verdana" w:hAnsi="Verdana"/>
          <w:b/>
          <w:bCs/>
          <w:color w:val="000000" w:themeColor="text1"/>
          <w:sz w:val="24"/>
        </w:rPr>
        <w:t xml:space="preserve">COST TRANSFERS FOR SPONSORED PROJECTS </w:t>
      </w:r>
    </w:p>
    <w:p w:rsidR="00A84BEC" w:rsidRPr="006E51FD" w:rsidRDefault="00A84BEC" w:rsidP="00695645">
      <w:pPr>
        <w:widowControl/>
        <w:tabs>
          <w:tab w:val="left" w:pos="0"/>
        </w:tabs>
        <w:autoSpaceDE/>
        <w:autoSpaceDN/>
        <w:adjustRightInd/>
        <w:jc w:val="center"/>
        <w:rPr>
          <w:rFonts w:ascii="Verdana" w:hAnsi="Verdana"/>
          <w:b/>
          <w:bCs/>
          <w:color w:val="000000" w:themeColor="text1"/>
          <w:sz w:val="24"/>
        </w:rPr>
      </w:pPr>
    </w:p>
    <w:p w:rsidR="00447DDE" w:rsidRDefault="00447DDE" w:rsidP="00AA015D">
      <w:pPr>
        <w:widowControl/>
        <w:tabs>
          <w:tab w:val="left" w:pos="540"/>
          <w:tab w:val="left" w:pos="1440"/>
        </w:tabs>
        <w:autoSpaceDE/>
        <w:autoSpaceDN/>
        <w:adjustRightInd/>
        <w:jc w:val="right"/>
        <w:rPr>
          <w:rFonts w:ascii="Verdana" w:hAnsi="Verdana"/>
          <w:b/>
          <w:bCs/>
          <w:szCs w:val="20"/>
        </w:rPr>
      </w:pPr>
    </w:p>
    <w:p w:rsidR="00A04D81" w:rsidRDefault="00A04D81" w:rsidP="006E51FD">
      <w:pPr>
        <w:pStyle w:val="Default"/>
        <w:rPr>
          <w:rFonts w:ascii="Verdana" w:hAnsi="Verdana"/>
          <w:b/>
          <w:bCs/>
          <w:sz w:val="20"/>
          <w:szCs w:val="20"/>
        </w:rPr>
      </w:pPr>
      <w:r>
        <w:rPr>
          <w:rFonts w:ascii="Verdana" w:hAnsi="Verdana"/>
          <w:b/>
          <w:bCs/>
          <w:sz w:val="20"/>
          <w:szCs w:val="20"/>
        </w:rPr>
        <w:t>I.</w:t>
      </w:r>
      <w:r>
        <w:rPr>
          <w:rFonts w:ascii="Verdana" w:hAnsi="Verdana"/>
          <w:b/>
          <w:bCs/>
          <w:sz w:val="20"/>
          <w:szCs w:val="20"/>
        </w:rPr>
        <w:tab/>
      </w:r>
      <w:r w:rsidR="00A17D98" w:rsidRPr="004D3D6D">
        <w:rPr>
          <w:rFonts w:ascii="Verdana" w:hAnsi="Verdana"/>
          <w:b/>
          <w:bCs/>
          <w:sz w:val="20"/>
          <w:szCs w:val="20"/>
        </w:rPr>
        <w:t>Purpose</w:t>
      </w:r>
    </w:p>
    <w:p w:rsidR="00A81423" w:rsidRDefault="00A17D98" w:rsidP="006E51FD">
      <w:pPr>
        <w:pStyle w:val="Default"/>
        <w:rPr>
          <w:rFonts w:ascii="Verdana" w:hAnsi="Verdana"/>
          <w:sz w:val="20"/>
          <w:szCs w:val="20"/>
        </w:rPr>
      </w:pPr>
      <w:r w:rsidRPr="00A17D98">
        <w:rPr>
          <w:rFonts w:ascii="Verdana" w:hAnsi="Verdana"/>
          <w:b/>
          <w:bCs/>
          <w:szCs w:val="20"/>
        </w:rPr>
        <w:br/>
      </w:r>
      <w:r w:rsidR="00A81423">
        <w:rPr>
          <w:rFonts w:ascii="Verdana" w:hAnsi="Verdana"/>
          <w:sz w:val="20"/>
          <w:szCs w:val="20"/>
        </w:rPr>
        <w:t xml:space="preserve">The purpose of this policy is to provide guidance on compliance with federal cost accounting policies to University of Kentucky Departments that </w:t>
      </w:r>
      <w:proofErr w:type="gramStart"/>
      <w:r w:rsidR="00A81423">
        <w:rPr>
          <w:rFonts w:ascii="Verdana" w:hAnsi="Verdana"/>
          <w:sz w:val="20"/>
          <w:szCs w:val="20"/>
        </w:rPr>
        <w:t>have</w:t>
      </w:r>
      <w:proofErr w:type="gramEnd"/>
      <w:r w:rsidR="00A81423">
        <w:rPr>
          <w:rFonts w:ascii="Verdana" w:hAnsi="Verdana"/>
          <w:sz w:val="20"/>
          <w:szCs w:val="20"/>
        </w:rPr>
        <w:t xml:space="preserve"> </w:t>
      </w:r>
      <w:r w:rsidR="00E31234">
        <w:rPr>
          <w:rFonts w:ascii="Verdana" w:hAnsi="Verdana"/>
          <w:sz w:val="20"/>
          <w:szCs w:val="20"/>
        </w:rPr>
        <w:t>sponsored projects</w:t>
      </w:r>
      <w:r w:rsidR="00A81423">
        <w:rPr>
          <w:rFonts w:ascii="Verdana" w:hAnsi="Verdana"/>
          <w:sz w:val="20"/>
          <w:szCs w:val="20"/>
        </w:rPr>
        <w:t xml:space="preserve">.  As a recipient of federal grants and contracts, the University must comply with the </w:t>
      </w:r>
      <w:r w:rsidR="00E31234">
        <w:rPr>
          <w:rFonts w:ascii="Verdana" w:hAnsi="Verdana"/>
          <w:sz w:val="20"/>
          <w:szCs w:val="20"/>
        </w:rPr>
        <w:t xml:space="preserve">Code of Federal Regulations Title 2 CFR Part 220; </w:t>
      </w:r>
      <w:r w:rsidR="00A81423">
        <w:rPr>
          <w:rFonts w:ascii="Verdana" w:hAnsi="Verdana"/>
          <w:sz w:val="20"/>
          <w:szCs w:val="20"/>
        </w:rPr>
        <w:t xml:space="preserve">Office of Management and Budget (OMB) Circular A-21 Cost Principles for Educational Institutions. A-21 includes the following Cost Accounting Standards (CAS) applicable to educational Institutions. </w:t>
      </w:r>
    </w:p>
    <w:p w:rsidR="00A81423" w:rsidRDefault="00A81423" w:rsidP="00EE7061">
      <w:pPr>
        <w:pStyle w:val="Default"/>
        <w:numPr>
          <w:ilvl w:val="0"/>
          <w:numId w:val="3"/>
        </w:numPr>
        <w:rPr>
          <w:rFonts w:ascii="Verdana" w:hAnsi="Verdana"/>
          <w:sz w:val="20"/>
          <w:szCs w:val="20"/>
        </w:rPr>
      </w:pPr>
      <w:r>
        <w:rPr>
          <w:rFonts w:ascii="Verdana" w:hAnsi="Verdana"/>
          <w:sz w:val="20"/>
          <w:szCs w:val="20"/>
        </w:rPr>
        <w:t>CAS 501 – Consistency in Estimating, Accumulating and Reporting Costs</w:t>
      </w:r>
    </w:p>
    <w:p w:rsidR="00A81423" w:rsidRDefault="00A81423" w:rsidP="00EE7061">
      <w:pPr>
        <w:pStyle w:val="Default"/>
        <w:numPr>
          <w:ilvl w:val="0"/>
          <w:numId w:val="3"/>
        </w:numPr>
        <w:rPr>
          <w:rFonts w:ascii="Verdana" w:hAnsi="Verdana"/>
          <w:sz w:val="20"/>
          <w:szCs w:val="20"/>
        </w:rPr>
      </w:pPr>
      <w:r>
        <w:rPr>
          <w:rFonts w:ascii="Verdana" w:hAnsi="Verdana"/>
          <w:sz w:val="20"/>
          <w:szCs w:val="20"/>
        </w:rPr>
        <w:t>CAS 502 – Consistency in Allocating Costs Incurred for the Same Process</w:t>
      </w:r>
    </w:p>
    <w:p w:rsidR="00A81423" w:rsidRDefault="00A81423" w:rsidP="00EE7061">
      <w:pPr>
        <w:pStyle w:val="Default"/>
        <w:numPr>
          <w:ilvl w:val="0"/>
          <w:numId w:val="3"/>
        </w:numPr>
        <w:rPr>
          <w:rFonts w:ascii="Verdana" w:hAnsi="Verdana"/>
          <w:sz w:val="20"/>
          <w:szCs w:val="20"/>
        </w:rPr>
      </w:pPr>
      <w:r>
        <w:rPr>
          <w:rFonts w:ascii="Verdana" w:hAnsi="Verdana"/>
          <w:sz w:val="20"/>
          <w:szCs w:val="20"/>
        </w:rPr>
        <w:t>CAS 505 – Accounting for Unallowable Costs</w:t>
      </w:r>
    </w:p>
    <w:p w:rsidR="00A81423" w:rsidRDefault="00ED4C19" w:rsidP="00EE7061">
      <w:pPr>
        <w:pStyle w:val="Default"/>
        <w:numPr>
          <w:ilvl w:val="0"/>
          <w:numId w:val="3"/>
        </w:numPr>
        <w:rPr>
          <w:rFonts w:ascii="Verdana" w:hAnsi="Verdana"/>
          <w:sz w:val="20"/>
          <w:szCs w:val="20"/>
        </w:rPr>
      </w:pPr>
      <w:r>
        <w:rPr>
          <w:rFonts w:ascii="Verdana" w:hAnsi="Verdana"/>
          <w:sz w:val="20"/>
          <w:szCs w:val="20"/>
        </w:rPr>
        <w:t>CAS 506 – Cost Accounting Period</w:t>
      </w:r>
    </w:p>
    <w:p w:rsidR="00A81423" w:rsidRDefault="00ED4C19" w:rsidP="006E51FD">
      <w:pPr>
        <w:pStyle w:val="Default"/>
        <w:rPr>
          <w:rFonts w:ascii="Verdana" w:hAnsi="Verdana"/>
          <w:sz w:val="20"/>
          <w:szCs w:val="20"/>
        </w:rPr>
      </w:pPr>
      <w:r>
        <w:rPr>
          <w:rFonts w:ascii="Verdana" w:hAnsi="Verdana"/>
          <w:sz w:val="20"/>
          <w:szCs w:val="20"/>
        </w:rPr>
        <w:t>CAS 501 requires the University to use consistent accounting practices to estimate the cost of a project in the proposal and to accumulate and report the actua</w:t>
      </w:r>
      <w:r w:rsidR="00E31234">
        <w:rPr>
          <w:rFonts w:ascii="Verdana" w:hAnsi="Verdana"/>
          <w:sz w:val="20"/>
          <w:szCs w:val="20"/>
        </w:rPr>
        <w:t>l costs of the project.  For a</w:t>
      </w:r>
      <w:r>
        <w:rPr>
          <w:rFonts w:ascii="Verdana" w:hAnsi="Verdana"/>
          <w:sz w:val="20"/>
          <w:szCs w:val="20"/>
        </w:rPr>
        <w:t xml:space="preserve"> significant amount of estimated costs in the proposal, accounting records must provide a meaningful comparison with actual costs.  One effect of this standard is the requirement to account for all funds, including university resources, committed</w:t>
      </w:r>
      <w:r w:rsidR="00E31234">
        <w:rPr>
          <w:rFonts w:ascii="Verdana" w:hAnsi="Verdana"/>
          <w:sz w:val="20"/>
          <w:szCs w:val="20"/>
        </w:rPr>
        <w:t xml:space="preserve"> to and incurred for individual </w:t>
      </w:r>
      <w:r>
        <w:rPr>
          <w:rFonts w:ascii="Verdana" w:hAnsi="Verdana"/>
          <w:sz w:val="20"/>
          <w:szCs w:val="20"/>
        </w:rPr>
        <w:t>sponsored projects</w:t>
      </w:r>
      <w:r w:rsidR="00E31234">
        <w:rPr>
          <w:rFonts w:ascii="Verdana" w:hAnsi="Verdana"/>
          <w:sz w:val="20"/>
          <w:szCs w:val="20"/>
        </w:rPr>
        <w:t xml:space="preserve"> commonly referred to as cost sharing</w:t>
      </w:r>
      <w:r>
        <w:rPr>
          <w:rFonts w:ascii="Verdana" w:hAnsi="Verdana"/>
          <w:sz w:val="20"/>
          <w:szCs w:val="20"/>
        </w:rPr>
        <w:t>.</w:t>
      </w:r>
    </w:p>
    <w:p w:rsidR="00CE13C6" w:rsidRDefault="00CE13C6" w:rsidP="006E51FD">
      <w:pPr>
        <w:pStyle w:val="Default"/>
        <w:rPr>
          <w:rFonts w:ascii="Verdana" w:hAnsi="Verdana"/>
          <w:sz w:val="20"/>
          <w:szCs w:val="20"/>
        </w:rPr>
      </w:pPr>
    </w:p>
    <w:p w:rsidR="00CE13C6" w:rsidRDefault="00CE13C6" w:rsidP="006E51FD">
      <w:pPr>
        <w:pStyle w:val="Default"/>
        <w:rPr>
          <w:rFonts w:ascii="Verdana" w:hAnsi="Verdana"/>
          <w:sz w:val="20"/>
          <w:szCs w:val="20"/>
        </w:rPr>
      </w:pPr>
      <w:r>
        <w:rPr>
          <w:rFonts w:ascii="Verdana" w:hAnsi="Verdana"/>
          <w:sz w:val="20"/>
          <w:szCs w:val="20"/>
        </w:rPr>
        <w:t xml:space="preserve">As a recipient of </w:t>
      </w:r>
      <w:r w:rsidR="008B159E">
        <w:rPr>
          <w:rFonts w:ascii="Verdana" w:hAnsi="Verdana"/>
          <w:sz w:val="20"/>
          <w:szCs w:val="20"/>
        </w:rPr>
        <w:t xml:space="preserve">Department of Health and Human Services (DHHS) grants and cooperative agreements, this guidance also incorporates the HHS Grants Policy Statement (HHS GPS) dated October 1, 2006. This statement reads:  </w:t>
      </w:r>
    </w:p>
    <w:p w:rsidR="008B159E" w:rsidRDefault="008B159E" w:rsidP="008B159E">
      <w:pPr>
        <w:pStyle w:val="Default"/>
        <w:ind w:left="720"/>
        <w:rPr>
          <w:rFonts w:ascii="Verdana" w:hAnsi="Verdana"/>
          <w:sz w:val="20"/>
          <w:szCs w:val="20"/>
        </w:rPr>
      </w:pPr>
    </w:p>
    <w:p w:rsidR="008B159E" w:rsidRPr="00FB1BEE" w:rsidRDefault="008B159E" w:rsidP="008B159E">
      <w:pPr>
        <w:pStyle w:val="Default"/>
        <w:ind w:left="720"/>
        <w:rPr>
          <w:rFonts w:ascii="Verdana" w:hAnsi="Verdana"/>
          <w:i/>
          <w:sz w:val="20"/>
          <w:szCs w:val="20"/>
        </w:rPr>
      </w:pPr>
      <w:r w:rsidRPr="00FB1BEE">
        <w:rPr>
          <w:rFonts w:ascii="Verdana" w:hAnsi="Verdana"/>
          <w:i/>
          <w:sz w:val="20"/>
          <w:szCs w:val="20"/>
        </w:rPr>
        <w:t>Permissible cost transfers should be made promptly after the error occurs but no later than 90 days following the occurrence unless a longer period is approved in advance by the G</w:t>
      </w:r>
      <w:r w:rsidR="00FB1BEE" w:rsidRPr="00FB1BEE">
        <w:rPr>
          <w:rFonts w:ascii="Verdana" w:hAnsi="Verdana"/>
          <w:i/>
          <w:sz w:val="20"/>
          <w:szCs w:val="20"/>
        </w:rPr>
        <w:t xml:space="preserve">rants </w:t>
      </w:r>
      <w:r w:rsidRPr="00FB1BEE">
        <w:rPr>
          <w:rFonts w:ascii="Verdana" w:hAnsi="Verdana"/>
          <w:i/>
          <w:sz w:val="20"/>
          <w:szCs w:val="20"/>
        </w:rPr>
        <w:t>M</w:t>
      </w:r>
      <w:r w:rsidR="00FB1BEE" w:rsidRPr="00FB1BEE">
        <w:rPr>
          <w:rFonts w:ascii="Verdana" w:hAnsi="Verdana"/>
          <w:i/>
          <w:sz w:val="20"/>
          <w:szCs w:val="20"/>
        </w:rPr>
        <w:t xml:space="preserve">anagement </w:t>
      </w:r>
      <w:r w:rsidRPr="00FB1BEE">
        <w:rPr>
          <w:rFonts w:ascii="Verdana" w:hAnsi="Verdana"/>
          <w:i/>
          <w:sz w:val="20"/>
          <w:szCs w:val="20"/>
        </w:rPr>
        <w:t>O</w:t>
      </w:r>
      <w:r w:rsidR="00FB1BEE" w:rsidRPr="00FB1BEE">
        <w:rPr>
          <w:rFonts w:ascii="Verdana" w:hAnsi="Verdana"/>
          <w:i/>
          <w:sz w:val="20"/>
          <w:szCs w:val="20"/>
        </w:rPr>
        <w:t>fficer</w:t>
      </w:r>
      <w:r w:rsidRPr="00FB1BEE">
        <w:rPr>
          <w:rFonts w:ascii="Verdana" w:hAnsi="Verdana"/>
          <w:i/>
          <w:sz w:val="20"/>
          <w:szCs w:val="20"/>
        </w:rPr>
        <w:t>.</w:t>
      </w:r>
    </w:p>
    <w:p w:rsidR="00E31234" w:rsidRDefault="00E31234" w:rsidP="006E51FD">
      <w:pPr>
        <w:pStyle w:val="Default"/>
        <w:rPr>
          <w:rFonts w:ascii="Verdana" w:hAnsi="Verdana"/>
          <w:sz w:val="20"/>
          <w:szCs w:val="20"/>
        </w:rPr>
      </w:pPr>
    </w:p>
    <w:p w:rsidR="006E51FD" w:rsidRPr="006E51FD" w:rsidRDefault="006E51FD" w:rsidP="006E51FD">
      <w:pPr>
        <w:pStyle w:val="Default"/>
        <w:rPr>
          <w:rFonts w:ascii="Verdana" w:hAnsi="Verdana"/>
          <w:sz w:val="20"/>
          <w:szCs w:val="20"/>
        </w:rPr>
      </w:pPr>
      <w:r w:rsidRPr="006E51FD">
        <w:rPr>
          <w:rFonts w:ascii="Verdana" w:hAnsi="Verdana"/>
          <w:sz w:val="20"/>
          <w:szCs w:val="20"/>
        </w:rPr>
        <w:t xml:space="preserve">Institutions receiving federal funds </w:t>
      </w:r>
      <w:r w:rsidR="00A62823">
        <w:rPr>
          <w:rFonts w:ascii="Verdana" w:hAnsi="Verdana"/>
          <w:sz w:val="20"/>
          <w:szCs w:val="20"/>
        </w:rPr>
        <w:t>may be</w:t>
      </w:r>
      <w:r w:rsidRPr="006E51FD">
        <w:rPr>
          <w:rFonts w:ascii="Verdana" w:hAnsi="Verdana"/>
          <w:sz w:val="20"/>
          <w:szCs w:val="20"/>
        </w:rPr>
        <w:t xml:space="preserve"> subject to audit disallowances </w:t>
      </w:r>
      <w:r w:rsidR="00A62823">
        <w:rPr>
          <w:rFonts w:ascii="Verdana" w:hAnsi="Verdana"/>
          <w:sz w:val="20"/>
          <w:szCs w:val="20"/>
        </w:rPr>
        <w:t>if they cannot demonstrate</w:t>
      </w:r>
      <w:r w:rsidRPr="006E51FD">
        <w:rPr>
          <w:rFonts w:ascii="Verdana" w:hAnsi="Verdana"/>
          <w:sz w:val="20"/>
          <w:szCs w:val="20"/>
        </w:rPr>
        <w:t xml:space="preserve"> sufficient control and documentation of cost transfers. For a cost transfer, </w:t>
      </w:r>
      <w:r w:rsidR="00A62823">
        <w:rPr>
          <w:rFonts w:ascii="Verdana" w:hAnsi="Verdana"/>
          <w:sz w:val="20"/>
          <w:szCs w:val="20"/>
        </w:rPr>
        <w:t>just</w:t>
      </w:r>
      <w:r w:rsidRPr="006E51FD">
        <w:rPr>
          <w:rFonts w:ascii="Verdana" w:hAnsi="Verdana"/>
          <w:sz w:val="20"/>
          <w:szCs w:val="20"/>
        </w:rPr>
        <w:t xml:space="preserve"> as for any other expenditure transaction, the federal government is looking for documentation to establish that the expenditure is appropriate to the </w:t>
      </w:r>
      <w:r w:rsidR="00A62823">
        <w:rPr>
          <w:rFonts w:ascii="Verdana" w:hAnsi="Verdana"/>
          <w:sz w:val="20"/>
          <w:szCs w:val="20"/>
        </w:rPr>
        <w:t>cost object</w:t>
      </w:r>
      <w:r w:rsidRPr="006E51FD">
        <w:rPr>
          <w:rFonts w:ascii="Verdana" w:hAnsi="Verdana"/>
          <w:sz w:val="20"/>
          <w:szCs w:val="20"/>
        </w:rPr>
        <w:t xml:space="preserve"> receiving the charge, i.e., that it is generally allowable, reasonably allocable, and directly applicable to the activity represented by the charged </w:t>
      </w:r>
      <w:r w:rsidR="00A62823">
        <w:rPr>
          <w:rFonts w:ascii="Verdana" w:hAnsi="Verdana"/>
          <w:sz w:val="20"/>
          <w:szCs w:val="20"/>
        </w:rPr>
        <w:t>cost object</w:t>
      </w:r>
      <w:r w:rsidRPr="006E51FD">
        <w:rPr>
          <w:rFonts w:ascii="Verdana" w:hAnsi="Verdana"/>
          <w:sz w:val="20"/>
          <w:szCs w:val="20"/>
        </w:rPr>
        <w:t xml:space="preserve">. </w:t>
      </w:r>
      <w:r w:rsidR="00A62823">
        <w:rPr>
          <w:rFonts w:ascii="Verdana" w:hAnsi="Verdana"/>
          <w:sz w:val="20"/>
          <w:szCs w:val="20"/>
        </w:rPr>
        <w:t>T</w:t>
      </w:r>
      <w:r w:rsidRPr="006E51FD">
        <w:rPr>
          <w:rFonts w:ascii="Verdana" w:hAnsi="Verdana"/>
          <w:sz w:val="20"/>
          <w:szCs w:val="20"/>
        </w:rPr>
        <w:t xml:space="preserve">he timing of cost transfers is important. For example, auditors will often assume that a late transfer of cost into an under expended </w:t>
      </w:r>
      <w:r w:rsidR="00A62823">
        <w:rPr>
          <w:rFonts w:ascii="Verdana" w:hAnsi="Verdana"/>
          <w:sz w:val="20"/>
          <w:szCs w:val="20"/>
        </w:rPr>
        <w:t>cost object</w:t>
      </w:r>
      <w:r w:rsidRPr="006E51FD">
        <w:rPr>
          <w:rFonts w:ascii="Verdana" w:hAnsi="Verdana"/>
          <w:sz w:val="20"/>
          <w:szCs w:val="20"/>
        </w:rPr>
        <w:t xml:space="preserve"> from an over expended </w:t>
      </w:r>
      <w:r w:rsidR="00A62823">
        <w:rPr>
          <w:rFonts w:ascii="Verdana" w:hAnsi="Verdana"/>
          <w:sz w:val="20"/>
          <w:szCs w:val="20"/>
        </w:rPr>
        <w:t>cost object</w:t>
      </w:r>
      <w:r w:rsidRPr="006E51FD">
        <w:rPr>
          <w:rFonts w:ascii="Verdana" w:hAnsi="Verdana"/>
          <w:sz w:val="20"/>
          <w:szCs w:val="20"/>
        </w:rPr>
        <w:t xml:space="preserve"> has been made simply to cover the over expenditure. Also, frequent errors in the recording of costs may indicate to federal auditors the need for improvements in the departmental/university's controls. </w:t>
      </w:r>
    </w:p>
    <w:p w:rsidR="00E31234" w:rsidRDefault="00E31234" w:rsidP="006E51FD">
      <w:pPr>
        <w:widowControl/>
        <w:tabs>
          <w:tab w:val="left" w:pos="-990"/>
        </w:tabs>
        <w:autoSpaceDE/>
        <w:autoSpaceDN/>
        <w:adjustRightInd/>
        <w:rPr>
          <w:rFonts w:ascii="Verdana" w:hAnsi="Verdana"/>
          <w:color w:val="000000"/>
          <w:szCs w:val="20"/>
        </w:rPr>
      </w:pPr>
    </w:p>
    <w:p w:rsidR="00F964DA" w:rsidRDefault="006E51FD" w:rsidP="006E51FD">
      <w:pPr>
        <w:widowControl/>
        <w:tabs>
          <w:tab w:val="left" w:pos="-990"/>
        </w:tabs>
        <w:autoSpaceDE/>
        <w:autoSpaceDN/>
        <w:adjustRightInd/>
        <w:rPr>
          <w:rFonts w:ascii="Verdana" w:hAnsi="Verdana"/>
          <w:color w:val="000000"/>
          <w:szCs w:val="20"/>
        </w:rPr>
      </w:pPr>
      <w:r w:rsidRPr="006E51FD">
        <w:rPr>
          <w:rFonts w:ascii="Verdana" w:hAnsi="Verdana"/>
          <w:color w:val="000000"/>
          <w:szCs w:val="20"/>
        </w:rPr>
        <w:t xml:space="preserve">What happens if a cost transfer does not meet government requirements? Effective July 1, 1990, the government required universities to retain external auditors to conduct extensive reviews of federal grant and contract expenditures to include reviews of cost transfers. In the event that a cost transfer does not meet the government requirements, the dollar amount of the transfer will be disallowed and the College or School responsible for the </w:t>
      </w:r>
      <w:r w:rsidR="00FB1BEE">
        <w:rPr>
          <w:rFonts w:ascii="Verdana" w:hAnsi="Verdana"/>
          <w:color w:val="000000"/>
          <w:szCs w:val="20"/>
        </w:rPr>
        <w:t>sponsored project</w:t>
      </w:r>
      <w:r w:rsidRPr="006E51FD">
        <w:rPr>
          <w:rFonts w:ascii="Verdana" w:hAnsi="Verdana"/>
          <w:color w:val="000000"/>
          <w:szCs w:val="20"/>
        </w:rPr>
        <w:t xml:space="preserve"> will be responsible for the disallowed cost transfer. If a significant number of cost transfers do not meet government requirements, the auditors may extrapolate the </w:t>
      </w:r>
      <w:r w:rsidRPr="006E51FD">
        <w:rPr>
          <w:rFonts w:ascii="Verdana" w:hAnsi="Verdana"/>
          <w:color w:val="000000"/>
          <w:szCs w:val="20"/>
        </w:rPr>
        <w:lastRenderedPageBreak/>
        <w:t>disallowances and recommend disallowing a percentage of ALL cost transfers for a particular</w:t>
      </w:r>
      <w:r w:rsidR="00A62823">
        <w:rPr>
          <w:rFonts w:ascii="Verdana" w:hAnsi="Verdana"/>
          <w:color w:val="000000"/>
          <w:szCs w:val="20"/>
        </w:rPr>
        <w:t xml:space="preserve"> sponsor,</w:t>
      </w:r>
      <w:r w:rsidRPr="006E51FD">
        <w:rPr>
          <w:rFonts w:ascii="Verdana" w:hAnsi="Verdana"/>
          <w:color w:val="000000"/>
          <w:szCs w:val="20"/>
        </w:rPr>
        <w:t xml:space="preserve"> department, college/school, or University-wide.</w:t>
      </w:r>
    </w:p>
    <w:p w:rsidR="00E31234" w:rsidRPr="00F964DA" w:rsidRDefault="00E31234" w:rsidP="006E51FD">
      <w:pPr>
        <w:widowControl/>
        <w:tabs>
          <w:tab w:val="left" w:pos="-990"/>
        </w:tabs>
        <w:autoSpaceDE/>
        <w:autoSpaceDN/>
        <w:adjustRightInd/>
        <w:rPr>
          <w:rFonts w:ascii="Verdana" w:hAnsi="Verdana"/>
          <w:color w:val="000000"/>
          <w:szCs w:val="20"/>
        </w:rPr>
      </w:pPr>
    </w:p>
    <w:p w:rsidR="00A17D98" w:rsidRPr="00A04D81" w:rsidRDefault="00A17D98" w:rsidP="00EE7061">
      <w:pPr>
        <w:pStyle w:val="ListParagraph"/>
        <w:widowControl/>
        <w:numPr>
          <w:ilvl w:val="0"/>
          <w:numId w:val="5"/>
        </w:numPr>
        <w:tabs>
          <w:tab w:val="left" w:pos="540"/>
        </w:tabs>
        <w:autoSpaceDE/>
        <w:autoSpaceDN/>
        <w:adjustRightInd/>
        <w:rPr>
          <w:rFonts w:ascii="Verdana" w:hAnsi="Verdana"/>
          <w:szCs w:val="20"/>
        </w:rPr>
      </w:pPr>
      <w:r w:rsidRPr="00A04D81">
        <w:rPr>
          <w:rFonts w:ascii="Verdana" w:hAnsi="Verdana"/>
          <w:b/>
          <w:szCs w:val="20"/>
        </w:rPr>
        <w:t>Definitions</w:t>
      </w:r>
    </w:p>
    <w:p w:rsidR="00A04D81" w:rsidRPr="00A04D81" w:rsidRDefault="00A04D81" w:rsidP="00A04D81">
      <w:pPr>
        <w:pStyle w:val="ListParagraph"/>
        <w:widowControl/>
        <w:tabs>
          <w:tab w:val="left" w:pos="540"/>
        </w:tabs>
        <w:autoSpaceDE/>
        <w:autoSpaceDN/>
        <w:adjustRightInd/>
        <w:ind w:left="810"/>
        <w:rPr>
          <w:rFonts w:ascii="Verdana" w:hAnsi="Verdana"/>
          <w:szCs w:val="20"/>
        </w:rPr>
      </w:pPr>
    </w:p>
    <w:p w:rsidR="009D21D9" w:rsidRDefault="009D21D9"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Allowable Cost:  An expense that is eligible for reimbursement by the federal government or sponsor.</w:t>
      </w:r>
    </w:p>
    <w:p w:rsidR="007336B0" w:rsidRDefault="007336B0" w:rsidP="007336B0">
      <w:pPr>
        <w:pStyle w:val="ListParagraph"/>
        <w:widowControl/>
        <w:tabs>
          <w:tab w:val="left" w:pos="540"/>
        </w:tabs>
        <w:autoSpaceDE/>
        <w:autoSpaceDN/>
        <w:adjustRightInd/>
        <w:ind w:left="900"/>
        <w:rPr>
          <w:rFonts w:ascii="Verdana" w:hAnsi="Verdana"/>
          <w:szCs w:val="20"/>
        </w:rPr>
      </w:pPr>
    </w:p>
    <w:p w:rsidR="009D21D9" w:rsidRDefault="009D21D9"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Cost Sharing</w:t>
      </w:r>
      <w:r w:rsidR="00FB1BEE">
        <w:rPr>
          <w:rFonts w:ascii="Verdana" w:hAnsi="Verdana"/>
          <w:szCs w:val="20"/>
        </w:rPr>
        <w:t>:</w:t>
      </w:r>
      <w:r>
        <w:rPr>
          <w:rFonts w:ascii="Verdana" w:hAnsi="Verdana"/>
          <w:szCs w:val="20"/>
        </w:rPr>
        <w:t xml:space="preserve"> Project costs not borne by the sponsor; also known as matching or in kind contributions. </w:t>
      </w:r>
    </w:p>
    <w:p w:rsidR="007336B0" w:rsidRPr="007336B0" w:rsidRDefault="007336B0" w:rsidP="007336B0">
      <w:pPr>
        <w:widowControl/>
        <w:tabs>
          <w:tab w:val="left" w:pos="540"/>
        </w:tabs>
        <w:autoSpaceDE/>
        <w:autoSpaceDN/>
        <w:adjustRightInd/>
        <w:rPr>
          <w:rFonts w:ascii="Verdana" w:hAnsi="Verdana"/>
          <w:szCs w:val="20"/>
        </w:rPr>
      </w:pPr>
    </w:p>
    <w:p w:rsidR="00A62823" w:rsidRDefault="00707016" w:rsidP="00EE7061">
      <w:pPr>
        <w:pStyle w:val="ListParagraph"/>
        <w:widowControl/>
        <w:numPr>
          <w:ilvl w:val="1"/>
          <w:numId w:val="1"/>
        </w:numPr>
        <w:tabs>
          <w:tab w:val="left" w:pos="540"/>
        </w:tabs>
        <w:autoSpaceDE/>
        <w:autoSpaceDN/>
        <w:adjustRightInd/>
        <w:ind w:left="900" w:hanging="360"/>
        <w:rPr>
          <w:rFonts w:ascii="Verdana" w:hAnsi="Verdana"/>
          <w:szCs w:val="20"/>
        </w:rPr>
      </w:pPr>
      <w:r w:rsidRPr="00A62823">
        <w:rPr>
          <w:rFonts w:ascii="Verdana" w:hAnsi="Verdana"/>
          <w:szCs w:val="20"/>
        </w:rPr>
        <w:t>Cost Transfer</w:t>
      </w:r>
      <w:r w:rsidR="00A17D98" w:rsidRPr="00A62823">
        <w:rPr>
          <w:rFonts w:ascii="Verdana" w:hAnsi="Verdana"/>
          <w:szCs w:val="20"/>
        </w:rPr>
        <w:t xml:space="preserve">:  </w:t>
      </w:r>
      <w:r w:rsidRPr="00A62823">
        <w:rPr>
          <w:rFonts w:ascii="Verdana" w:hAnsi="Verdana"/>
          <w:szCs w:val="20"/>
        </w:rPr>
        <w:t xml:space="preserve">Is any </w:t>
      </w:r>
      <w:r w:rsidR="00A62823" w:rsidRPr="00A62823">
        <w:rPr>
          <w:rFonts w:ascii="Verdana" w:hAnsi="Verdana"/>
          <w:szCs w:val="20"/>
        </w:rPr>
        <w:t>movement</w:t>
      </w:r>
      <w:r w:rsidRPr="00A62823">
        <w:rPr>
          <w:rFonts w:ascii="Verdana" w:hAnsi="Verdana"/>
          <w:szCs w:val="20"/>
        </w:rPr>
        <w:t xml:space="preserve"> of a</w:t>
      </w:r>
      <w:r w:rsidR="00FB1BEE">
        <w:rPr>
          <w:rFonts w:ascii="Verdana" w:hAnsi="Verdana"/>
          <w:szCs w:val="20"/>
        </w:rPr>
        <w:t xml:space="preserve"> previously recorded</w:t>
      </w:r>
      <w:r w:rsidRPr="00A62823">
        <w:rPr>
          <w:rFonts w:ascii="Verdana" w:hAnsi="Verdana"/>
          <w:szCs w:val="20"/>
        </w:rPr>
        <w:t xml:space="preserve"> expense </w:t>
      </w:r>
      <w:r w:rsidR="00A62823" w:rsidRPr="00A62823">
        <w:rPr>
          <w:rFonts w:ascii="Verdana" w:hAnsi="Verdana"/>
          <w:szCs w:val="20"/>
        </w:rPr>
        <w:t>to or from</w:t>
      </w:r>
      <w:r w:rsidRPr="00A62823">
        <w:rPr>
          <w:rFonts w:ascii="Verdana" w:hAnsi="Verdana"/>
          <w:szCs w:val="20"/>
        </w:rPr>
        <w:t xml:space="preserve"> a sponsored project</w:t>
      </w:r>
      <w:r w:rsidR="00FB1BEE">
        <w:rPr>
          <w:rFonts w:ascii="Verdana" w:hAnsi="Verdana"/>
          <w:szCs w:val="20"/>
        </w:rPr>
        <w:t xml:space="preserve"> within the accounting or payroll systems</w:t>
      </w:r>
      <w:r w:rsidR="00A62823">
        <w:rPr>
          <w:rFonts w:ascii="Verdana" w:hAnsi="Verdana"/>
          <w:szCs w:val="20"/>
        </w:rPr>
        <w:t>.</w:t>
      </w:r>
      <w:r w:rsidR="00FB1BEE">
        <w:rPr>
          <w:rFonts w:ascii="Verdana" w:hAnsi="Verdana"/>
          <w:szCs w:val="20"/>
        </w:rPr>
        <w:t xml:space="preserve">  “Transfer” is used in this context only because federal regulations use the expression “cost transfer.”  This does not mean that these entries are recorded on “transfer” general ledger accounts within the meaning of college and university accounting principles.</w:t>
      </w:r>
    </w:p>
    <w:p w:rsidR="007336B0" w:rsidRPr="007336B0" w:rsidRDefault="007336B0" w:rsidP="007336B0">
      <w:pPr>
        <w:widowControl/>
        <w:tabs>
          <w:tab w:val="left" w:pos="540"/>
        </w:tabs>
        <w:autoSpaceDE/>
        <w:autoSpaceDN/>
        <w:adjustRightInd/>
        <w:rPr>
          <w:rFonts w:ascii="Verdana" w:hAnsi="Verdana"/>
          <w:szCs w:val="20"/>
        </w:rPr>
      </w:pPr>
    </w:p>
    <w:p w:rsidR="009D21D9" w:rsidRDefault="009D21D9" w:rsidP="00EE7061">
      <w:pPr>
        <w:pStyle w:val="ListParagraph"/>
        <w:widowControl/>
        <w:numPr>
          <w:ilvl w:val="1"/>
          <w:numId w:val="1"/>
        </w:numPr>
        <w:tabs>
          <w:tab w:val="left" w:pos="540"/>
        </w:tabs>
        <w:autoSpaceDE/>
        <w:autoSpaceDN/>
        <w:adjustRightInd/>
        <w:ind w:left="900" w:hanging="360"/>
        <w:rPr>
          <w:rFonts w:ascii="Verdana" w:hAnsi="Verdana"/>
          <w:szCs w:val="20"/>
        </w:rPr>
      </w:pPr>
      <w:r w:rsidRPr="00A62823">
        <w:rPr>
          <w:rFonts w:ascii="Verdana" w:hAnsi="Verdana"/>
          <w:szCs w:val="20"/>
        </w:rPr>
        <w:t>Direct Costs: An expense charged to the sponsor fund that can be directly identified with a specific goal or achievement of the project and would not have been incurred or required for any other purpose.</w:t>
      </w:r>
    </w:p>
    <w:p w:rsidR="007336B0" w:rsidRPr="007336B0" w:rsidRDefault="007336B0" w:rsidP="007336B0">
      <w:pPr>
        <w:widowControl/>
        <w:tabs>
          <w:tab w:val="left" w:pos="540"/>
        </w:tabs>
        <w:autoSpaceDE/>
        <w:autoSpaceDN/>
        <w:adjustRightInd/>
        <w:rPr>
          <w:rFonts w:ascii="Verdana" w:hAnsi="Verdana"/>
          <w:szCs w:val="20"/>
        </w:rPr>
      </w:pPr>
    </w:p>
    <w:p w:rsidR="00934C41" w:rsidRDefault="00934C41"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General Ledger (GL): A complete record of all business transactions, all transactions flow through the General Ledger</w:t>
      </w:r>
      <w:r w:rsidR="00FB1BEE">
        <w:rPr>
          <w:rFonts w:ascii="Verdana" w:hAnsi="Verdana"/>
          <w:szCs w:val="20"/>
        </w:rPr>
        <w:t xml:space="preserve"> and are assigned a g/l account</w:t>
      </w:r>
      <w:r w:rsidR="000A5C2F">
        <w:rPr>
          <w:rFonts w:ascii="Verdana" w:hAnsi="Verdana"/>
          <w:szCs w:val="20"/>
        </w:rPr>
        <w:t>.</w:t>
      </w:r>
    </w:p>
    <w:p w:rsidR="007336B0" w:rsidRPr="007336B0" w:rsidRDefault="007336B0" w:rsidP="007336B0">
      <w:pPr>
        <w:widowControl/>
        <w:tabs>
          <w:tab w:val="left" w:pos="540"/>
        </w:tabs>
        <w:autoSpaceDE/>
        <w:autoSpaceDN/>
        <w:adjustRightInd/>
        <w:rPr>
          <w:rFonts w:ascii="Verdana" w:hAnsi="Verdana"/>
          <w:szCs w:val="20"/>
        </w:rPr>
      </w:pPr>
    </w:p>
    <w:p w:rsidR="00756EEE" w:rsidRDefault="00FB1BEE"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Facilities and Administrative (F&amp;A)</w:t>
      </w:r>
      <w:r w:rsidR="00756EEE">
        <w:rPr>
          <w:rFonts w:ascii="Verdana" w:hAnsi="Verdana"/>
          <w:szCs w:val="20"/>
        </w:rPr>
        <w:t xml:space="preserve"> Cost: </w:t>
      </w:r>
      <w:r w:rsidR="00A62823">
        <w:rPr>
          <w:rFonts w:ascii="Verdana" w:hAnsi="Verdana"/>
          <w:szCs w:val="20"/>
        </w:rPr>
        <w:t xml:space="preserve">An expense </w:t>
      </w:r>
      <w:r w:rsidR="00756EEE" w:rsidRPr="00756EEE">
        <w:rPr>
          <w:rFonts w:ascii="Verdana" w:hAnsi="Verdana"/>
          <w:szCs w:val="20"/>
        </w:rPr>
        <w:t xml:space="preserve">incurred for common or joint objectives </w:t>
      </w:r>
      <w:r>
        <w:rPr>
          <w:rFonts w:ascii="Verdana" w:hAnsi="Verdana"/>
          <w:szCs w:val="20"/>
        </w:rPr>
        <w:t>that</w:t>
      </w:r>
      <w:r w:rsidR="00756EEE" w:rsidRPr="00756EEE">
        <w:rPr>
          <w:rFonts w:ascii="Verdana" w:hAnsi="Verdana"/>
          <w:szCs w:val="20"/>
        </w:rPr>
        <w:t xml:space="preserve"> cannot be identified readily and specifically with a particular sponsored project</w:t>
      </w:r>
      <w:r w:rsidR="00756EEE">
        <w:rPr>
          <w:rFonts w:ascii="Verdana" w:hAnsi="Verdana"/>
          <w:szCs w:val="20"/>
        </w:rPr>
        <w:t>.</w:t>
      </w:r>
    </w:p>
    <w:p w:rsidR="007336B0" w:rsidRPr="007336B0" w:rsidRDefault="007336B0" w:rsidP="007336B0">
      <w:pPr>
        <w:widowControl/>
        <w:tabs>
          <w:tab w:val="left" w:pos="540"/>
        </w:tabs>
        <w:autoSpaceDE/>
        <w:autoSpaceDN/>
        <w:adjustRightInd/>
        <w:rPr>
          <w:rFonts w:ascii="Verdana" w:hAnsi="Verdana"/>
          <w:szCs w:val="20"/>
        </w:rPr>
      </w:pPr>
    </w:p>
    <w:p w:rsidR="000A5C2F" w:rsidRDefault="000A5C2F"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Journal Voucher: Document used to complete cost transfer</w:t>
      </w:r>
      <w:r w:rsidR="00A62823">
        <w:rPr>
          <w:rFonts w:ascii="Verdana" w:hAnsi="Verdana"/>
          <w:szCs w:val="20"/>
        </w:rPr>
        <w:t>s</w:t>
      </w:r>
      <w:r w:rsidR="00FB1BEE">
        <w:rPr>
          <w:rFonts w:ascii="Verdana" w:hAnsi="Verdana"/>
          <w:szCs w:val="20"/>
        </w:rPr>
        <w:t xml:space="preserve"> in the accounting system used as</w:t>
      </w:r>
      <w:r>
        <w:rPr>
          <w:rFonts w:ascii="Verdana" w:hAnsi="Verdana"/>
          <w:szCs w:val="20"/>
        </w:rPr>
        <w:t xml:space="preserve"> an authorization for the entry into the accounting system.</w:t>
      </w:r>
    </w:p>
    <w:p w:rsidR="007336B0" w:rsidRPr="007336B0" w:rsidRDefault="007336B0" w:rsidP="007336B0">
      <w:pPr>
        <w:widowControl/>
        <w:tabs>
          <w:tab w:val="left" w:pos="540"/>
        </w:tabs>
        <w:autoSpaceDE/>
        <w:autoSpaceDN/>
        <w:adjustRightInd/>
        <w:rPr>
          <w:rFonts w:ascii="Verdana" w:hAnsi="Verdana"/>
          <w:szCs w:val="20"/>
        </w:rPr>
      </w:pPr>
    </w:p>
    <w:p w:rsidR="00CF722E" w:rsidRDefault="00CF722E"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 xml:space="preserve">Sponsored Project: </w:t>
      </w:r>
      <w:r w:rsidR="00756EEE">
        <w:rPr>
          <w:rFonts w:ascii="Verdana" w:hAnsi="Verdana"/>
          <w:szCs w:val="20"/>
        </w:rPr>
        <w:t xml:space="preserve">Grant, Contract or </w:t>
      </w:r>
      <w:r w:rsidR="00FB1BEE">
        <w:rPr>
          <w:rFonts w:ascii="Verdana" w:hAnsi="Verdana"/>
          <w:szCs w:val="20"/>
        </w:rPr>
        <w:t xml:space="preserve">Agreement or </w:t>
      </w:r>
      <w:r w:rsidR="00756EEE">
        <w:rPr>
          <w:rFonts w:ascii="Verdana" w:hAnsi="Verdana"/>
          <w:szCs w:val="20"/>
        </w:rPr>
        <w:t xml:space="preserve">Cooperative Agreement </w:t>
      </w:r>
      <w:r w:rsidR="00FB1BEE">
        <w:rPr>
          <w:rFonts w:ascii="Verdana" w:hAnsi="Verdana"/>
          <w:szCs w:val="20"/>
        </w:rPr>
        <w:t>identified as a WBS element/Grant in the SAP system and the number begins with</w:t>
      </w:r>
      <w:r w:rsidR="00756EEE">
        <w:rPr>
          <w:rFonts w:ascii="Verdana" w:hAnsi="Verdana"/>
          <w:szCs w:val="20"/>
        </w:rPr>
        <w:t xml:space="preserve"> </w:t>
      </w:r>
      <w:r w:rsidR="00FB1BEE">
        <w:rPr>
          <w:rFonts w:ascii="Verdana" w:hAnsi="Verdana"/>
          <w:szCs w:val="20"/>
        </w:rPr>
        <w:t>a</w:t>
      </w:r>
      <w:r w:rsidR="00756EEE">
        <w:rPr>
          <w:rFonts w:ascii="Verdana" w:hAnsi="Verdana"/>
          <w:szCs w:val="20"/>
        </w:rPr>
        <w:t xml:space="preserve"> 3</w:t>
      </w:r>
      <w:r w:rsidR="00FB1BEE">
        <w:rPr>
          <w:rFonts w:ascii="Verdana" w:hAnsi="Verdana"/>
          <w:szCs w:val="20"/>
        </w:rPr>
        <w:t>xx</w:t>
      </w:r>
      <w:r w:rsidR="00756EEE">
        <w:rPr>
          <w:rFonts w:ascii="Verdana" w:hAnsi="Verdana"/>
          <w:szCs w:val="20"/>
        </w:rPr>
        <w:t>xxxxxxx</w:t>
      </w:r>
    </w:p>
    <w:p w:rsidR="007336B0" w:rsidRPr="007336B0" w:rsidRDefault="007336B0" w:rsidP="007336B0">
      <w:pPr>
        <w:widowControl/>
        <w:tabs>
          <w:tab w:val="left" w:pos="540"/>
        </w:tabs>
        <w:autoSpaceDE/>
        <w:autoSpaceDN/>
        <w:adjustRightInd/>
        <w:rPr>
          <w:rFonts w:ascii="Verdana" w:hAnsi="Verdana"/>
          <w:szCs w:val="20"/>
        </w:rPr>
      </w:pPr>
    </w:p>
    <w:p w:rsidR="0064152E" w:rsidRDefault="00CA01B5" w:rsidP="00EE7061">
      <w:pPr>
        <w:pStyle w:val="ListParagraph"/>
        <w:widowControl/>
        <w:numPr>
          <w:ilvl w:val="1"/>
          <w:numId w:val="1"/>
        </w:numPr>
        <w:tabs>
          <w:tab w:val="left" w:pos="540"/>
        </w:tabs>
        <w:autoSpaceDE/>
        <w:autoSpaceDN/>
        <w:adjustRightInd/>
        <w:ind w:left="900" w:hanging="360"/>
        <w:rPr>
          <w:rFonts w:ascii="Verdana" w:hAnsi="Verdana"/>
          <w:szCs w:val="20"/>
        </w:rPr>
      </w:pPr>
      <w:r>
        <w:rPr>
          <w:rFonts w:ascii="Verdana" w:hAnsi="Verdana"/>
          <w:szCs w:val="20"/>
        </w:rPr>
        <w:t>Payroll Retroactive adjustments</w:t>
      </w:r>
      <w:r w:rsidR="00FB1BEE">
        <w:rPr>
          <w:rFonts w:ascii="Verdana" w:hAnsi="Verdana"/>
          <w:szCs w:val="20"/>
        </w:rPr>
        <w:t xml:space="preserve"> (Payroll </w:t>
      </w:r>
      <w:proofErr w:type="spellStart"/>
      <w:r w:rsidR="00FB1BEE">
        <w:rPr>
          <w:rFonts w:ascii="Verdana" w:hAnsi="Verdana"/>
          <w:szCs w:val="20"/>
        </w:rPr>
        <w:t>retros</w:t>
      </w:r>
      <w:proofErr w:type="spellEnd"/>
      <w:r w:rsidR="00FB1BEE">
        <w:rPr>
          <w:rFonts w:ascii="Verdana" w:hAnsi="Verdana"/>
          <w:szCs w:val="20"/>
        </w:rPr>
        <w:t>)</w:t>
      </w:r>
      <w:r>
        <w:rPr>
          <w:rFonts w:ascii="Verdana" w:hAnsi="Verdana"/>
          <w:szCs w:val="20"/>
        </w:rPr>
        <w:t xml:space="preserve">:  A cost transfer performed by changing information in the HR-Payroll system that moves personnel and benefits costs posted in a previous </w:t>
      </w:r>
      <w:r w:rsidR="00FB1BEE">
        <w:rPr>
          <w:rFonts w:ascii="Verdana" w:hAnsi="Verdana"/>
          <w:szCs w:val="20"/>
        </w:rPr>
        <w:t>payroll</w:t>
      </w:r>
      <w:r>
        <w:rPr>
          <w:rFonts w:ascii="Verdana" w:hAnsi="Verdana"/>
          <w:szCs w:val="20"/>
        </w:rPr>
        <w:t xml:space="preserve"> period to a different cost object in the current period</w:t>
      </w:r>
    </w:p>
    <w:p w:rsidR="006E51FD" w:rsidRPr="006E51FD" w:rsidRDefault="006E51FD" w:rsidP="006E51FD">
      <w:pPr>
        <w:pStyle w:val="ListParagraph"/>
        <w:widowControl/>
        <w:ind w:left="594"/>
        <w:rPr>
          <w:rFonts w:ascii="Verdana" w:hAnsi="Verdana"/>
          <w:bCs/>
          <w:szCs w:val="20"/>
        </w:rPr>
      </w:pPr>
    </w:p>
    <w:p w:rsidR="00A17D98" w:rsidRPr="007336B0" w:rsidRDefault="00A17D98" w:rsidP="007336B0">
      <w:pPr>
        <w:pStyle w:val="ListParagraph"/>
        <w:widowControl/>
        <w:numPr>
          <w:ilvl w:val="0"/>
          <w:numId w:val="1"/>
        </w:numPr>
        <w:rPr>
          <w:rFonts w:ascii="Verdana" w:hAnsi="Verdana"/>
          <w:bCs/>
          <w:szCs w:val="20"/>
        </w:rPr>
      </w:pPr>
      <w:r w:rsidRPr="007336B0">
        <w:rPr>
          <w:rFonts w:ascii="Verdana" w:hAnsi="Verdana"/>
          <w:b/>
          <w:bCs/>
          <w:szCs w:val="20"/>
        </w:rPr>
        <w:t>Responsibilities</w:t>
      </w:r>
      <w:r w:rsidRPr="007336B0">
        <w:rPr>
          <w:rFonts w:ascii="Verdana" w:hAnsi="Verdana"/>
          <w:bCs/>
          <w:szCs w:val="20"/>
        </w:rPr>
        <w:t xml:space="preserve"> </w:t>
      </w:r>
    </w:p>
    <w:p w:rsidR="007336B0" w:rsidRPr="007336B0" w:rsidRDefault="007336B0" w:rsidP="007336B0">
      <w:pPr>
        <w:pStyle w:val="ListParagraph"/>
        <w:widowControl/>
        <w:ind w:left="594"/>
        <w:rPr>
          <w:rFonts w:ascii="Verdana" w:hAnsi="Verdana"/>
          <w:bCs/>
          <w:szCs w:val="20"/>
        </w:rPr>
      </w:pPr>
    </w:p>
    <w:p w:rsidR="00723648" w:rsidRDefault="0044268F" w:rsidP="0044268F">
      <w:pPr>
        <w:pStyle w:val="ListParagraph"/>
        <w:widowControl/>
        <w:ind w:left="1434" w:hanging="840"/>
        <w:rPr>
          <w:rFonts w:ascii="Verdana" w:hAnsi="Verdana"/>
          <w:bCs/>
          <w:szCs w:val="20"/>
        </w:rPr>
      </w:pPr>
      <w:r>
        <w:rPr>
          <w:rFonts w:ascii="Verdana" w:hAnsi="Verdana"/>
          <w:bCs/>
          <w:szCs w:val="20"/>
        </w:rPr>
        <w:t>1.</w:t>
      </w:r>
      <w:r>
        <w:rPr>
          <w:rFonts w:ascii="Verdana" w:hAnsi="Verdana"/>
          <w:bCs/>
          <w:szCs w:val="20"/>
        </w:rPr>
        <w:tab/>
      </w:r>
      <w:r w:rsidR="00BF04A0" w:rsidRPr="00BF04A0">
        <w:rPr>
          <w:rFonts w:ascii="Verdana" w:hAnsi="Verdana"/>
          <w:bCs/>
          <w:szCs w:val="20"/>
        </w:rPr>
        <w:t xml:space="preserve">The department with which the charge is </w:t>
      </w:r>
      <w:r w:rsidR="00AB6016" w:rsidRPr="00BF04A0">
        <w:rPr>
          <w:rFonts w:ascii="Verdana" w:hAnsi="Verdana"/>
          <w:bCs/>
          <w:szCs w:val="20"/>
        </w:rPr>
        <w:t>affiliated</w:t>
      </w:r>
      <w:r w:rsidR="00BF04A0" w:rsidRPr="00BF04A0">
        <w:rPr>
          <w:rFonts w:ascii="Verdana" w:hAnsi="Verdana"/>
          <w:bCs/>
          <w:szCs w:val="20"/>
        </w:rPr>
        <w:t xml:space="preserve"> is responsible for </w:t>
      </w:r>
      <w:r w:rsidR="00985A2A">
        <w:rPr>
          <w:rFonts w:ascii="Verdana" w:hAnsi="Verdana"/>
          <w:bCs/>
          <w:szCs w:val="20"/>
        </w:rPr>
        <w:t xml:space="preserve">monitoring </w:t>
      </w:r>
      <w:r w:rsidR="00A62823">
        <w:rPr>
          <w:rFonts w:ascii="Verdana" w:hAnsi="Verdana"/>
          <w:bCs/>
          <w:szCs w:val="20"/>
        </w:rPr>
        <w:t xml:space="preserve">and reconciling </w:t>
      </w:r>
      <w:r w:rsidR="00FB1BEE">
        <w:rPr>
          <w:rFonts w:ascii="Verdana" w:hAnsi="Verdana"/>
          <w:bCs/>
          <w:szCs w:val="20"/>
        </w:rPr>
        <w:t>all</w:t>
      </w:r>
      <w:r w:rsidR="00985A2A">
        <w:rPr>
          <w:rFonts w:ascii="Verdana" w:hAnsi="Verdana"/>
          <w:bCs/>
          <w:szCs w:val="20"/>
        </w:rPr>
        <w:t xml:space="preserve"> </w:t>
      </w:r>
      <w:r w:rsidR="00A62823">
        <w:rPr>
          <w:rFonts w:ascii="Verdana" w:hAnsi="Verdana"/>
          <w:bCs/>
          <w:szCs w:val="20"/>
        </w:rPr>
        <w:t>cost object</w:t>
      </w:r>
      <w:r w:rsidR="00FB1BEE">
        <w:rPr>
          <w:rFonts w:ascii="Verdana" w:hAnsi="Verdana"/>
          <w:bCs/>
          <w:szCs w:val="20"/>
        </w:rPr>
        <w:t>s</w:t>
      </w:r>
      <w:r w:rsidR="00985A2A">
        <w:rPr>
          <w:rFonts w:ascii="Verdana" w:hAnsi="Verdana"/>
          <w:bCs/>
          <w:szCs w:val="20"/>
        </w:rPr>
        <w:t xml:space="preserve"> </w:t>
      </w:r>
      <w:r w:rsidR="00BD3C43">
        <w:rPr>
          <w:rFonts w:ascii="Verdana" w:hAnsi="Verdana"/>
          <w:bCs/>
          <w:szCs w:val="20"/>
        </w:rPr>
        <w:t xml:space="preserve">on a monthly basis </w:t>
      </w:r>
      <w:r w:rsidR="00A62823">
        <w:rPr>
          <w:rFonts w:ascii="Verdana" w:hAnsi="Verdana"/>
          <w:bCs/>
          <w:szCs w:val="20"/>
        </w:rPr>
        <w:t xml:space="preserve">according to BPM </w:t>
      </w:r>
      <w:r w:rsidR="00A62823" w:rsidRPr="00A62823">
        <w:rPr>
          <w:rFonts w:ascii="Verdana" w:hAnsi="Verdana"/>
          <w:bCs/>
          <w:color w:val="FF0000"/>
          <w:szCs w:val="20"/>
        </w:rPr>
        <w:t>(reference reconciliation procedure here)</w:t>
      </w:r>
      <w:r w:rsidR="00A62823">
        <w:rPr>
          <w:rFonts w:ascii="Verdana" w:hAnsi="Verdana"/>
          <w:bCs/>
          <w:szCs w:val="20"/>
        </w:rPr>
        <w:t xml:space="preserve"> </w:t>
      </w:r>
      <w:r w:rsidR="00985A2A">
        <w:rPr>
          <w:rFonts w:ascii="Verdana" w:hAnsi="Verdana"/>
          <w:bCs/>
          <w:szCs w:val="20"/>
        </w:rPr>
        <w:t>and initiating the required cost transfer.</w:t>
      </w:r>
      <w:r w:rsidR="00A62823">
        <w:rPr>
          <w:rFonts w:ascii="Verdana" w:hAnsi="Verdana"/>
          <w:bCs/>
          <w:szCs w:val="20"/>
        </w:rPr>
        <w:t xml:space="preserve">  </w:t>
      </w:r>
      <w:r w:rsidR="00985A2A">
        <w:rPr>
          <w:rFonts w:ascii="Verdana" w:hAnsi="Verdana"/>
          <w:bCs/>
          <w:szCs w:val="20"/>
        </w:rPr>
        <w:t xml:space="preserve">Based on the </w:t>
      </w:r>
      <w:r w:rsidR="00FB1BEE">
        <w:rPr>
          <w:rFonts w:ascii="Verdana" w:hAnsi="Verdana"/>
          <w:bCs/>
          <w:szCs w:val="20"/>
        </w:rPr>
        <w:t>original transaction date</w:t>
      </w:r>
      <w:r w:rsidR="00985A2A">
        <w:rPr>
          <w:rFonts w:ascii="Verdana" w:hAnsi="Verdana"/>
          <w:bCs/>
          <w:szCs w:val="20"/>
        </w:rPr>
        <w:t xml:space="preserve"> of the charge being moved, there are various </w:t>
      </w:r>
      <w:r w:rsidR="00723648">
        <w:rPr>
          <w:rFonts w:ascii="Verdana" w:hAnsi="Verdana"/>
          <w:bCs/>
          <w:szCs w:val="20"/>
        </w:rPr>
        <w:t>levels of signature authority that must be obtained on the cost transfer document.</w:t>
      </w:r>
    </w:p>
    <w:p w:rsidR="00FB1BEE" w:rsidRPr="00FB1BEE" w:rsidRDefault="00FB1BEE" w:rsidP="00FB1BEE">
      <w:pPr>
        <w:widowControl/>
        <w:rPr>
          <w:rFonts w:ascii="Verdana" w:hAnsi="Verdana"/>
          <w:bCs/>
          <w:szCs w:val="20"/>
        </w:rPr>
      </w:pPr>
    </w:p>
    <w:p w:rsidR="006C112E" w:rsidRDefault="00723648" w:rsidP="006C112E">
      <w:pPr>
        <w:pStyle w:val="ListParagraph"/>
        <w:widowControl/>
        <w:ind w:left="1434" w:hanging="840"/>
        <w:rPr>
          <w:rFonts w:ascii="Verdana" w:hAnsi="Verdana"/>
          <w:bCs/>
          <w:szCs w:val="20"/>
        </w:rPr>
      </w:pPr>
      <w:r>
        <w:rPr>
          <w:rFonts w:ascii="Verdana" w:hAnsi="Verdana"/>
          <w:bCs/>
          <w:szCs w:val="20"/>
        </w:rPr>
        <w:t>2.</w:t>
      </w:r>
      <w:r w:rsidR="00707A68">
        <w:rPr>
          <w:rFonts w:ascii="Verdana" w:hAnsi="Verdana"/>
          <w:bCs/>
          <w:szCs w:val="20"/>
        </w:rPr>
        <w:tab/>
      </w:r>
      <w:r w:rsidR="00A04D81" w:rsidRPr="00FB1BEE">
        <w:rPr>
          <w:rFonts w:ascii="Verdana" w:hAnsi="Verdana"/>
          <w:bCs/>
          <w:szCs w:val="20"/>
        </w:rPr>
        <w:t>SPA</w:t>
      </w:r>
      <w:r w:rsidR="00707A68" w:rsidRPr="00FB1BEE">
        <w:rPr>
          <w:rFonts w:ascii="Verdana" w:hAnsi="Verdana"/>
          <w:bCs/>
          <w:szCs w:val="20"/>
        </w:rPr>
        <w:t xml:space="preserve"> will review the cost transfer to </w:t>
      </w:r>
      <w:r w:rsidR="00CA01B5" w:rsidRPr="00FB1BEE">
        <w:rPr>
          <w:rFonts w:ascii="Verdana" w:hAnsi="Verdana"/>
          <w:bCs/>
          <w:szCs w:val="20"/>
        </w:rPr>
        <w:t>ens</w:t>
      </w:r>
      <w:r w:rsidR="00707A68" w:rsidRPr="00FB1BEE">
        <w:rPr>
          <w:rFonts w:ascii="Verdana" w:hAnsi="Verdana"/>
          <w:bCs/>
          <w:szCs w:val="20"/>
        </w:rPr>
        <w:t xml:space="preserve">ure it meets </w:t>
      </w:r>
      <w:r w:rsidR="00CA01B5" w:rsidRPr="00FB1BEE">
        <w:rPr>
          <w:rFonts w:ascii="Verdana" w:hAnsi="Verdana"/>
          <w:bCs/>
          <w:szCs w:val="20"/>
        </w:rPr>
        <w:t>the requirements</w:t>
      </w:r>
      <w:r w:rsidR="00A04D81" w:rsidRPr="00FB1BEE">
        <w:rPr>
          <w:rFonts w:ascii="Verdana" w:hAnsi="Verdana"/>
          <w:bCs/>
          <w:szCs w:val="20"/>
        </w:rPr>
        <w:t xml:space="preserve"> of the Cost Transfer Policy and will post the document if approved.</w:t>
      </w:r>
    </w:p>
    <w:p w:rsidR="006C112E" w:rsidRPr="006C112E" w:rsidRDefault="006C112E" w:rsidP="006C112E">
      <w:pPr>
        <w:widowControl/>
        <w:rPr>
          <w:rFonts w:ascii="Verdana" w:hAnsi="Verdana"/>
          <w:bCs/>
          <w:szCs w:val="20"/>
        </w:rPr>
      </w:pPr>
      <w:r w:rsidRPr="006C112E">
        <w:rPr>
          <w:rFonts w:ascii="Verdana" w:hAnsi="Verdana"/>
          <w:bCs/>
          <w:szCs w:val="20"/>
        </w:rPr>
        <w:tab/>
      </w:r>
    </w:p>
    <w:p w:rsidR="006C112E" w:rsidRDefault="006C112E" w:rsidP="006C112E">
      <w:pPr>
        <w:pStyle w:val="ListParagraph"/>
        <w:widowControl/>
        <w:ind w:left="1434" w:hanging="840"/>
        <w:rPr>
          <w:rFonts w:ascii="Verdana" w:hAnsi="Verdana"/>
          <w:color w:val="000000"/>
          <w:szCs w:val="20"/>
        </w:rPr>
      </w:pPr>
      <w:r>
        <w:rPr>
          <w:rFonts w:ascii="Verdana" w:hAnsi="Verdana"/>
          <w:color w:val="000000"/>
          <w:szCs w:val="20"/>
        </w:rPr>
        <w:t>3.</w:t>
      </w:r>
      <w:r>
        <w:rPr>
          <w:rFonts w:ascii="Verdana" w:hAnsi="Verdana"/>
          <w:color w:val="000000"/>
          <w:szCs w:val="20"/>
        </w:rPr>
        <w:tab/>
      </w:r>
      <w:r w:rsidRPr="006C112E">
        <w:rPr>
          <w:rFonts w:ascii="Verdana" w:hAnsi="Verdana"/>
          <w:color w:val="000000"/>
          <w:szCs w:val="20"/>
        </w:rPr>
        <w:t>Signatures</w:t>
      </w:r>
    </w:p>
    <w:p w:rsidR="006C112E" w:rsidRPr="006C112E" w:rsidRDefault="006C112E" w:rsidP="006C112E">
      <w:pPr>
        <w:pStyle w:val="ListParagraph"/>
        <w:widowControl/>
        <w:ind w:left="1434" w:hanging="840"/>
        <w:rPr>
          <w:rFonts w:ascii="Verdana" w:hAnsi="Verdana"/>
          <w:bCs/>
          <w:szCs w:val="20"/>
        </w:rPr>
      </w:pPr>
    </w:p>
    <w:p w:rsidR="006C112E" w:rsidRDefault="006C112E" w:rsidP="006C112E">
      <w:pPr>
        <w:pStyle w:val="ListParagraph"/>
        <w:widowControl/>
        <w:numPr>
          <w:ilvl w:val="3"/>
          <w:numId w:val="17"/>
        </w:numPr>
        <w:spacing w:before="100" w:after="240"/>
        <w:rPr>
          <w:rFonts w:ascii="Verdana" w:hAnsi="Verdana"/>
          <w:color w:val="000000"/>
          <w:szCs w:val="20"/>
        </w:rPr>
      </w:pPr>
      <w:r>
        <w:rPr>
          <w:rFonts w:ascii="Verdana" w:hAnsi="Verdana"/>
          <w:color w:val="000000"/>
          <w:szCs w:val="20"/>
        </w:rPr>
        <w:t>The Department Administrator or Approving Official certifies that the expense was requested by the Principal Investigator (PI) of the sponsored project.</w:t>
      </w:r>
    </w:p>
    <w:p w:rsidR="006C112E" w:rsidRDefault="006C112E" w:rsidP="006C112E">
      <w:pPr>
        <w:pStyle w:val="ListParagraph"/>
        <w:widowControl/>
        <w:numPr>
          <w:ilvl w:val="3"/>
          <w:numId w:val="17"/>
        </w:numPr>
        <w:spacing w:before="100" w:after="240"/>
        <w:rPr>
          <w:rFonts w:ascii="Verdana" w:hAnsi="Verdana"/>
          <w:color w:val="000000"/>
          <w:szCs w:val="20"/>
        </w:rPr>
      </w:pPr>
      <w:r>
        <w:rPr>
          <w:rFonts w:ascii="Verdana" w:hAnsi="Verdana"/>
          <w:color w:val="000000"/>
          <w:szCs w:val="20"/>
        </w:rPr>
        <w:t>The PI signature certifies that the expense is appropriate for the sponsored project and that the expense complies with the terms and restrictions of the sponsored project.</w:t>
      </w:r>
    </w:p>
    <w:p w:rsidR="006C112E" w:rsidRDefault="006C112E" w:rsidP="006C112E">
      <w:pPr>
        <w:pStyle w:val="ListParagraph"/>
        <w:widowControl/>
        <w:numPr>
          <w:ilvl w:val="3"/>
          <w:numId w:val="17"/>
        </w:numPr>
        <w:spacing w:before="100" w:after="240"/>
        <w:rPr>
          <w:rFonts w:ascii="Verdana" w:hAnsi="Verdana"/>
          <w:color w:val="000000"/>
          <w:szCs w:val="20"/>
        </w:rPr>
      </w:pPr>
      <w:r>
        <w:rPr>
          <w:rFonts w:ascii="Verdana" w:hAnsi="Verdana"/>
          <w:color w:val="000000"/>
          <w:szCs w:val="20"/>
        </w:rPr>
        <w:t>The Department Chair or Director signature certifies the expense and documentation has been reviewed to ensure compliance with both internal policies and the sponsored project terms and restrictions</w:t>
      </w:r>
    </w:p>
    <w:p w:rsidR="006C112E" w:rsidRPr="0085702A" w:rsidRDefault="006C112E" w:rsidP="006C112E">
      <w:pPr>
        <w:pStyle w:val="ListParagraph"/>
        <w:widowControl/>
        <w:numPr>
          <w:ilvl w:val="3"/>
          <w:numId w:val="17"/>
        </w:numPr>
        <w:spacing w:before="100" w:after="240"/>
        <w:rPr>
          <w:rFonts w:ascii="Verdana" w:hAnsi="Verdana"/>
          <w:color w:val="000000"/>
          <w:szCs w:val="20"/>
        </w:rPr>
      </w:pPr>
      <w:r>
        <w:rPr>
          <w:rFonts w:ascii="Verdana" w:hAnsi="Verdana"/>
          <w:color w:val="000000"/>
          <w:szCs w:val="20"/>
        </w:rPr>
        <w:t xml:space="preserve">The Dean or Vice President </w:t>
      </w:r>
      <w:proofErr w:type="gramStart"/>
      <w:r>
        <w:rPr>
          <w:rFonts w:ascii="Verdana" w:hAnsi="Verdana"/>
          <w:color w:val="000000"/>
          <w:szCs w:val="20"/>
        </w:rPr>
        <w:t>signature</w:t>
      </w:r>
      <w:proofErr w:type="gramEnd"/>
      <w:r>
        <w:rPr>
          <w:rFonts w:ascii="Verdana" w:hAnsi="Verdana"/>
          <w:color w:val="000000"/>
          <w:szCs w:val="20"/>
        </w:rPr>
        <w:t xml:space="preserve"> certifies compliance with internal policies and the sponsored project terms and conditions and further certifies that in the event this expense is disallowed by SPA, internal or external auditors, the College or School is financially responsible for the disallowed costs and any associated penalties.  </w:t>
      </w:r>
    </w:p>
    <w:p w:rsidR="00C43F8C" w:rsidRPr="005A2CF8" w:rsidRDefault="005A2CF8" w:rsidP="005A2CF8">
      <w:pPr>
        <w:widowControl/>
        <w:ind w:left="90"/>
        <w:rPr>
          <w:rFonts w:ascii="Verdana" w:hAnsi="Verdana"/>
          <w:b/>
          <w:bCs/>
          <w:szCs w:val="20"/>
        </w:rPr>
      </w:pPr>
      <w:r>
        <w:rPr>
          <w:rFonts w:ascii="Verdana" w:hAnsi="Verdana"/>
          <w:b/>
          <w:bCs/>
          <w:szCs w:val="20"/>
        </w:rPr>
        <w:t>IV.</w:t>
      </w:r>
      <w:r>
        <w:rPr>
          <w:rFonts w:ascii="Verdana" w:hAnsi="Verdana"/>
          <w:b/>
          <w:bCs/>
          <w:szCs w:val="20"/>
        </w:rPr>
        <w:tab/>
      </w:r>
      <w:r w:rsidR="00C43F8C" w:rsidRPr="005A2CF8">
        <w:rPr>
          <w:rFonts w:ascii="Verdana" w:hAnsi="Verdana"/>
          <w:b/>
          <w:bCs/>
          <w:szCs w:val="20"/>
        </w:rPr>
        <w:t>Policy</w:t>
      </w:r>
    </w:p>
    <w:p w:rsidR="003B4E42" w:rsidRDefault="003B4E42" w:rsidP="004D3D6D">
      <w:pPr>
        <w:pStyle w:val="ListParagraph"/>
        <w:widowControl/>
        <w:ind w:left="1098"/>
        <w:rPr>
          <w:rFonts w:ascii="Verdana" w:hAnsi="Verdana"/>
          <w:bCs/>
          <w:szCs w:val="20"/>
        </w:rPr>
      </w:pPr>
      <w:bookmarkStart w:id="0" w:name="_GoBack"/>
      <w:bookmarkEnd w:id="0"/>
    </w:p>
    <w:p w:rsidR="003B4E42" w:rsidRDefault="003B4E42" w:rsidP="003B4E42">
      <w:pPr>
        <w:pStyle w:val="ListParagraph"/>
        <w:widowControl/>
        <w:ind w:left="1098"/>
        <w:rPr>
          <w:rFonts w:ascii="Verdana" w:hAnsi="Verdana"/>
          <w:bCs/>
          <w:szCs w:val="20"/>
        </w:rPr>
      </w:pPr>
      <w:r w:rsidRPr="008466F1">
        <w:rPr>
          <w:rFonts w:ascii="Verdana" w:hAnsi="Verdana"/>
          <w:bCs/>
          <w:szCs w:val="20"/>
        </w:rPr>
        <w:t>In all cases, the transfer must be made promptly. In this context, "promptly" means that the cost transfer should be made no later than 90 days of the original transaction, and in all cases 30 days prior to the date the final report is due to the sponsor.</w:t>
      </w:r>
      <w:r w:rsidR="006C112E">
        <w:rPr>
          <w:rFonts w:ascii="Verdana" w:hAnsi="Verdana"/>
          <w:bCs/>
          <w:szCs w:val="20"/>
        </w:rPr>
        <w:t xml:space="preserve">  </w:t>
      </w:r>
      <w:r w:rsidR="006C112E" w:rsidRPr="008466F1">
        <w:rPr>
          <w:rFonts w:ascii="Verdana" w:hAnsi="Verdana"/>
          <w:bCs/>
          <w:szCs w:val="20"/>
        </w:rPr>
        <w:t>This is particularly critical when approaching the end of a budget period, otherwise sponsor</w:t>
      </w:r>
      <w:r w:rsidR="006C112E">
        <w:rPr>
          <w:rFonts w:ascii="Verdana" w:hAnsi="Verdana"/>
          <w:bCs/>
          <w:szCs w:val="20"/>
        </w:rPr>
        <w:t xml:space="preserve"> reports may be filed including </w:t>
      </w:r>
      <w:r w:rsidR="006C112E" w:rsidRPr="008466F1">
        <w:rPr>
          <w:rFonts w:ascii="Verdana" w:hAnsi="Verdana"/>
          <w:bCs/>
          <w:szCs w:val="20"/>
        </w:rPr>
        <w:t>inappropriate charges.</w:t>
      </w:r>
    </w:p>
    <w:p w:rsidR="003B4E42" w:rsidRDefault="003B4E42" w:rsidP="003B4E42">
      <w:pPr>
        <w:pStyle w:val="ListParagraph"/>
        <w:widowControl/>
        <w:ind w:left="1098"/>
        <w:rPr>
          <w:rFonts w:ascii="Verdana" w:hAnsi="Verdana"/>
          <w:bCs/>
          <w:szCs w:val="20"/>
        </w:rPr>
      </w:pPr>
    </w:p>
    <w:p w:rsidR="003B4E42" w:rsidRDefault="003B4E42" w:rsidP="003B4E42">
      <w:pPr>
        <w:pStyle w:val="ListParagraph"/>
        <w:widowControl/>
        <w:ind w:left="1098"/>
        <w:rPr>
          <w:rFonts w:ascii="Verdana" w:hAnsi="Verdana"/>
          <w:bCs/>
          <w:szCs w:val="20"/>
        </w:rPr>
      </w:pPr>
      <w:r w:rsidRPr="008466F1">
        <w:rPr>
          <w:rFonts w:ascii="Verdana" w:hAnsi="Verdana"/>
          <w:bCs/>
          <w:szCs w:val="20"/>
        </w:rPr>
        <w:t xml:space="preserve">Expenditures made pending receipt of a sponsored </w:t>
      </w:r>
      <w:r>
        <w:rPr>
          <w:rFonts w:ascii="Verdana" w:hAnsi="Verdana"/>
          <w:bCs/>
          <w:szCs w:val="20"/>
        </w:rPr>
        <w:t>project</w:t>
      </w:r>
      <w:r w:rsidRPr="008466F1">
        <w:rPr>
          <w:rFonts w:ascii="Verdana" w:hAnsi="Verdana"/>
          <w:bCs/>
          <w:szCs w:val="20"/>
        </w:rPr>
        <w:t xml:space="preserve"> should never be charged to another sponsored project in the interim. Instead, a departmental</w:t>
      </w:r>
      <w:r>
        <w:rPr>
          <w:rFonts w:ascii="Verdana" w:hAnsi="Verdana"/>
          <w:bCs/>
          <w:szCs w:val="20"/>
        </w:rPr>
        <w:t xml:space="preserve"> </w:t>
      </w:r>
      <w:r w:rsidR="000B4B82">
        <w:rPr>
          <w:rFonts w:ascii="Verdana" w:hAnsi="Verdana"/>
          <w:bCs/>
          <w:szCs w:val="20"/>
        </w:rPr>
        <w:t>cost center</w:t>
      </w:r>
      <w:r w:rsidRPr="008466F1">
        <w:rPr>
          <w:rFonts w:ascii="Verdana" w:hAnsi="Verdana"/>
          <w:bCs/>
          <w:szCs w:val="20"/>
        </w:rPr>
        <w:t xml:space="preserve"> should be used as the temporary clearing </w:t>
      </w:r>
      <w:r>
        <w:rPr>
          <w:rFonts w:ascii="Verdana" w:hAnsi="Verdana"/>
          <w:bCs/>
          <w:szCs w:val="20"/>
        </w:rPr>
        <w:t>cost center</w:t>
      </w:r>
      <w:r w:rsidRPr="008466F1">
        <w:rPr>
          <w:rFonts w:ascii="Verdana" w:hAnsi="Verdana"/>
          <w:bCs/>
          <w:szCs w:val="20"/>
        </w:rPr>
        <w:t xml:space="preserve"> (because that is where non</w:t>
      </w:r>
      <w:r w:rsidR="000B4B82">
        <w:rPr>
          <w:rFonts w:ascii="Verdana" w:hAnsi="Verdana"/>
          <w:bCs/>
          <w:szCs w:val="20"/>
        </w:rPr>
        <w:t>-</w:t>
      </w:r>
      <w:r w:rsidRPr="008466F1">
        <w:rPr>
          <w:rFonts w:ascii="Verdana" w:hAnsi="Verdana"/>
          <w:bCs/>
          <w:szCs w:val="20"/>
        </w:rPr>
        <w:t>sponsored departmental research would be appropriately charged if the project is not ultimately funded).</w:t>
      </w:r>
    </w:p>
    <w:p w:rsidR="003B4E42" w:rsidRPr="008466F1" w:rsidRDefault="003B4E42" w:rsidP="003B4E42">
      <w:pPr>
        <w:pStyle w:val="ListParagraph"/>
        <w:widowControl/>
        <w:ind w:left="1098"/>
        <w:rPr>
          <w:rFonts w:ascii="Verdana" w:hAnsi="Verdana"/>
          <w:bCs/>
          <w:szCs w:val="20"/>
        </w:rPr>
      </w:pPr>
    </w:p>
    <w:p w:rsidR="003B4E42" w:rsidRDefault="003B4E42" w:rsidP="003B4E42">
      <w:pPr>
        <w:pStyle w:val="ListParagraph"/>
        <w:widowControl/>
        <w:ind w:left="1098"/>
        <w:rPr>
          <w:rFonts w:ascii="Verdana" w:hAnsi="Verdana"/>
          <w:bCs/>
          <w:szCs w:val="20"/>
        </w:rPr>
      </w:pPr>
      <w:r w:rsidRPr="008466F1">
        <w:rPr>
          <w:rFonts w:ascii="Verdana" w:hAnsi="Verdana"/>
          <w:bCs/>
          <w:szCs w:val="20"/>
        </w:rPr>
        <w:t>Multiple requests to transfer costs later than 90 days after the original occurrence without an approved explanation of extenuating circumstances will be denied and all charges wil</w:t>
      </w:r>
      <w:r>
        <w:rPr>
          <w:rFonts w:ascii="Verdana" w:hAnsi="Verdana"/>
          <w:bCs/>
          <w:szCs w:val="20"/>
        </w:rPr>
        <w:t xml:space="preserve">l be moved to a departmental cost center or </w:t>
      </w:r>
      <w:r w:rsidRPr="008466F1">
        <w:rPr>
          <w:rFonts w:ascii="Verdana" w:hAnsi="Verdana"/>
          <w:bCs/>
          <w:szCs w:val="20"/>
        </w:rPr>
        <w:t xml:space="preserve">cost share </w:t>
      </w:r>
      <w:r>
        <w:rPr>
          <w:rFonts w:ascii="Verdana" w:hAnsi="Verdana"/>
          <w:bCs/>
          <w:szCs w:val="20"/>
        </w:rPr>
        <w:t>fund as determined by SPA</w:t>
      </w:r>
      <w:r w:rsidRPr="008466F1">
        <w:rPr>
          <w:rFonts w:ascii="Verdana" w:hAnsi="Verdana"/>
          <w:bCs/>
          <w:szCs w:val="20"/>
        </w:rPr>
        <w:t>.</w:t>
      </w:r>
    </w:p>
    <w:p w:rsidR="003B4E42" w:rsidRDefault="003B4E42" w:rsidP="004D3D6D">
      <w:pPr>
        <w:pStyle w:val="ListParagraph"/>
        <w:widowControl/>
        <w:ind w:left="1098"/>
        <w:rPr>
          <w:rFonts w:ascii="Verdana" w:hAnsi="Verdana"/>
          <w:bCs/>
          <w:szCs w:val="20"/>
        </w:rPr>
      </w:pPr>
    </w:p>
    <w:p w:rsidR="00E87292" w:rsidRPr="00CA01B5" w:rsidRDefault="00E87292" w:rsidP="008B159E">
      <w:pPr>
        <w:pStyle w:val="ListParagraph"/>
        <w:widowControl/>
        <w:spacing w:before="100" w:after="240"/>
        <w:ind w:left="1098"/>
        <w:rPr>
          <w:rFonts w:ascii="Verdana" w:hAnsi="Verdana"/>
          <w:color w:val="000000"/>
          <w:szCs w:val="20"/>
        </w:rPr>
      </w:pPr>
      <w:r w:rsidRPr="00CA01B5">
        <w:rPr>
          <w:rFonts w:ascii="Verdana" w:hAnsi="Verdana"/>
          <w:color w:val="000000"/>
          <w:szCs w:val="20"/>
        </w:rPr>
        <w:t xml:space="preserve">However, under no circumstances can costs that directly benefit nonfederal projects be assigned or transferred to federal projects, whether or not interrelated, if the federal project does not also benefit directly from the expenditure. Nor can charges be transferred to any </w:t>
      </w:r>
      <w:r w:rsidR="008B159E">
        <w:rPr>
          <w:rFonts w:ascii="Verdana" w:hAnsi="Verdana"/>
          <w:color w:val="000000"/>
          <w:szCs w:val="20"/>
        </w:rPr>
        <w:t>cost object</w:t>
      </w:r>
      <w:r w:rsidRPr="00CA01B5">
        <w:rPr>
          <w:rFonts w:ascii="Verdana" w:hAnsi="Verdana"/>
          <w:color w:val="000000"/>
          <w:szCs w:val="20"/>
        </w:rPr>
        <w:t xml:space="preserve"> regardless of sponsor if the charging </w:t>
      </w:r>
      <w:r w:rsidR="008B159E">
        <w:rPr>
          <w:rFonts w:ascii="Verdana" w:hAnsi="Verdana"/>
          <w:color w:val="000000"/>
          <w:szCs w:val="20"/>
        </w:rPr>
        <w:t xml:space="preserve">project </w:t>
      </w:r>
      <w:r w:rsidRPr="00CA01B5">
        <w:rPr>
          <w:rFonts w:ascii="Verdana" w:hAnsi="Verdana"/>
          <w:color w:val="000000"/>
          <w:szCs w:val="20"/>
        </w:rPr>
        <w:t>has not directly benefited from the charge.</w:t>
      </w:r>
    </w:p>
    <w:p w:rsidR="00887708" w:rsidRDefault="00E87292" w:rsidP="00E87292">
      <w:pPr>
        <w:widowControl/>
        <w:spacing w:before="100" w:after="240"/>
        <w:ind w:left="1098"/>
        <w:rPr>
          <w:rFonts w:ascii="Verdana" w:hAnsi="Verdana"/>
          <w:color w:val="000000"/>
          <w:szCs w:val="20"/>
        </w:rPr>
      </w:pPr>
      <w:r w:rsidRPr="00E87292">
        <w:rPr>
          <w:rFonts w:ascii="Verdana" w:hAnsi="Verdana"/>
          <w:color w:val="000000"/>
          <w:szCs w:val="20"/>
        </w:rPr>
        <w:t>Any costs allocable to a particular sponsored project under the standards provided in this policy may not be shifted to other sponsored projects in order to meet deficiencies caused by overruns or other fund considerations or for other reasons of convenience. See OMB Circular A-21</w:t>
      </w:r>
    </w:p>
    <w:p w:rsidR="006C112E" w:rsidRPr="004D3D6D" w:rsidRDefault="006C112E" w:rsidP="006C112E">
      <w:pPr>
        <w:pStyle w:val="ListParagraph"/>
        <w:widowControl/>
        <w:numPr>
          <w:ilvl w:val="0"/>
          <w:numId w:val="18"/>
        </w:numPr>
        <w:rPr>
          <w:rFonts w:ascii="Verdana" w:hAnsi="Verdana"/>
          <w:bCs/>
          <w:szCs w:val="20"/>
        </w:rPr>
      </w:pPr>
      <w:r>
        <w:rPr>
          <w:rFonts w:ascii="Verdana" w:hAnsi="Verdana"/>
          <w:bCs/>
          <w:szCs w:val="20"/>
        </w:rPr>
        <w:t>A Cost Transfer may sometimes be necessary to:</w:t>
      </w:r>
    </w:p>
    <w:p w:rsidR="006C112E" w:rsidRPr="005A2CF8" w:rsidRDefault="006C112E" w:rsidP="006C112E">
      <w:pPr>
        <w:pStyle w:val="ListParagraph"/>
        <w:widowControl/>
        <w:numPr>
          <w:ilvl w:val="0"/>
          <w:numId w:val="6"/>
        </w:numPr>
        <w:spacing w:before="100" w:after="240"/>
        <w:rPr>
          <w:rFonts w:ascii="Verdana" w:hAnsi="Verdana"/>
          <w:color w:val="000000"/>
          <w:szCs w:val="20"/>
        </w:rPr>
      </w:pPr>
      <w:r w:rsidRPr="005A2CF8">
        <w:rPr>
          <w:rFonts w:ascii="Verdana" w:hAnsi="Verdana"/>
          <w:color w:val="000000"/>
          <w:szCs w:val="20"/>
        </w:rPr>
        <w:t xml:space="preserve">Correct bookkeeping or clerical errors in original charges within 90 days of the error and providing an appropriate explanation of the error (after 90 days, </w:t>
      </w:r>
      <w:r>
        <w:rPr>
          <w:rFonts w:ascii="Verdana" w:hAnsi="Verdana"/>
          <w:color w:val="000000"/>
          <w:szCs w:val="20"/>
        </w:rPr>
        <w:t xml:space="preserve">not </w:t>
      </w:r>
      <w:r w:rsidRPr="005A2CF8">
        <w:rPr>
          <w:rFonts w:ascii="Verdana" w:hAnsi="Verdana"/>
          <w:color w:val="000000"/>
          <w:szCs w:val="20"/>
        </w:rPr>
        <w:t xml:space="preserve">reviewing ledger sheet </w:t>
      </w:r>
      <w:r>
        <w:rPr>
          <w:rFonts w:ascii="Verdana" w:hAnsi="Verdana"/>
          <w:color w:val="000000"/>
          <w:szCs w:val="20"/>
        </w:rPr>
        <w:t xml:space="preserve">or reconciling it or another cost object </w:t>
      </w:r>
      <w:r w:rsidRPr="005A2CF8">
        <w:rPr>
          <w:rFonts w:ascii="Verdana" w:hAnsi="Verdana"/>
          <w:color w:val="000000"/>
          <w:szCs w:val="20"/>
        </w:rPr>
        <w:t>in a timely manner will not</w:t>
      </w:r>
      <w:r>
        <w:rPr>
          <w:rFonts w:ascii="Verdana" w:hAnsi="Verdana"/>
          <w:color w:val="000000"/>
          <w:szCs w:val="20"/>
        </w:rPr>
        <w:t xml:space="preserve"> be an acceptable explanation);</w:t>
      </w:r>
    </w:p>
    <w:p w:rsidR="006C112E" w:rsidRDefault="006C112E" w:rsidP="006C112E">
      <w:pPr>
        <w:pStyle w:val="ListParagraph"/>
        <w:widowControl/>
        <w:numPr>
          <w:ilvl w:val="0"/>
          <w:numId w:val="6"/>
        </w:numPr>
        <w:spacing w:before="100" w:after="240"/>
        <w:rPr>
          <w:rFonts w:ascii="Verdana" w:hAnsi="Verdana"/>
          <w:color w:val="000000"/>
          <w:szCs w:val="20"/>
        </w:rPr>
      </w:pPr>
      <w:r w:rsidRPr="005A2CF8">
        <w:rPr>
          <w:rFonts w:ascii="Verdana" w:hAnsi="Verdana"/>
          <w:color w:val="000000"/>
          <w:szCs w:val="20"/>
        </w:rPr>
        <w:t xml:space="preserve">Properly allocate costs to the appropriate </w:t>
      </w:r>
      <w:r>
        <w:rPr>
          <w:rFonts w:ascii="Verdana" w:hAnsi="Verdana"/>
          <w:color w:val="000000"/>
          <w:szCs w:val="20"/>
        </w:rPr>
        <w:t>cost object</w:t>
      </w:r>
      <w:r w:rsidRPr="005A2CF8">
        <w:rPr>
          <w:rFonts w:ascii="Verdana" w:hAnsi="Verdana"/>
          <w:color w:val="000000"/>
          <w:szCs w:val="20"/>
        </w:rPr>
        <w:t xml:space="preserve">s using a verifiable and reasonable method in accordance </w:t>
      </w:r>
      <w:r>
        <w:rPr>
          <w:rFonts w:ascii="Verdana" w:hAnsi="Verdana"/>
          <w:color w:val="000000"/>
          <w:szCs w:val="20"/>
        </w:rPr>
        <w:t>with cost accounting principles;</w:t>
      </w:r>
    </w:p>
    <w:p w:rsidR="006C112E" w:rsidRDefault="006C112E" w:rsidP="006C112E">
      <w:pPr>
        <w:pStyle w:val="ListParagraph"/>
        <w:widowControl/>
        <w:numPr>
          <w:ilvl w:val="0"/>
          <w:numId w:val="6"/>
        </w:numPr>
        <w:spacing w:before="100" w:after="240"/>
        <w:rPr>
          <w:rFonts w:ascii="Verdana" w:hAnsi="Verdana"/>
          <w:color w:val="000000"/>
          <w:szCs w:val="20"/>
        </w:rPr>
      </w:pPr>
      <w:r w:rsidRPr="00CA01B5">
        <w:rPr>
          <w:rFonts w:ascii="Verdana" w:hAnsi="Verdana"/>
          <w:color w:val="000000"/>
          <w:szCs w:val="20"/>
        </w:rPr>
        <w:t xml:space="preserve">Transfer charges between cost objects supporting closely related work for reasons other </w:t>
      </w:r>
      <w:r>
        <w:rPr>
          <w:rFonts w:ascii="Verdana" w:hAnsi="Verdana"/>
          <w:color w:val="000000"/>
          <w:szCs w:val="20"/>
        </w:rPr>
        <w:t>than covering over expenditures; or</w:t>
      </w:r>
    </w:p>
    <w:p w:rsidR="006C112E" w:rsidRPr="00CA01B5" w:rsidRDefault="006C112E" w:rsidP="006C112E">
      <w:pPr>
        <w:pStyle w:val="ListParagraph"/>
        <w:widowControl/>
        <w:numPr>
          <w:ilvl w:val="0"/>
          <w:numId w:val="6"/>
        </w:numPr>
        <w:spacing w:before="100" w:after="240"/>
        <w:rPr>
          <w:rFonts w:ascii="Verdana" w:hAnsi="Verdana"/>
          <w:color w:val="000000"/>
          <w:szCs w:val="20"/>
        </w:rPr>
      </w:pPr>
      <w:r w:rsidRPr="00CA01B5">
        <w:rPr>
          <w:rFonts w:ascii="Verdana" w:hAnsi="Verdana"/>
          <w:color w:val="000000"/>
          <w:szCs w:val="20"/>
        </w:rPr>
        <w:t xml:space="preserve">Reclassify expenditures to cost sharing funds </w:t>
      </w:r>
    </w:p>
    <w:p w:rsidR="007336B0" w:rsidRPr="008F5465" w:rsidRDefault="008F5465" w:rsidP="008F5465">
      <w:pPr>
        <w:pStyle w:val="ListParagraph"/>
        <w:widowControl/>
        <w:numPr>
          <w:ilvl w:val="0"/>
          <w:numId w:val="18"/>
        </w:numPr>
        <w:spacing w:before="100" w:after="240"/>
        <w:rPr>
          <w:rFonts w:ascii="Verdana" w:hAnsi="Verdana"/>
          <w:color w:val="000000"/>
          <w:szCs w:val="20"/>
        </w:rPr>
      </w:pPr>
      <w:r w:rsidRPr="008F5465">
        <w:rPr>
          <w:rFonts w:ascii="Verdana" w:hAnsi="Verdana"/>
          <w:color w:val="000000"/>
          <w:szCs w:val="20"/>
        </w:rPr>
        <w:t>The following circumstances are considered unallowable:</w:t>
      </w:r>
    </w:p>
    <w:p w:rsidR="000B4B82" w:rsidRDefault="000B4B82" w:rsidP="0085702A">
      <w:pPr>
        <w:pStyle w:val="ListParagraph"/>
        <w:widowControl/>
        <w:numPr>
          <w:ilvl w:val="3"/>
          <w:numId w:val="9"/>
        </w:numPr>
        <w:spacing w:before="100" w:after="240"/>
        <w:rPr>
          <w:rFonts w:ascii="Verdana" w:hAnsi="Verdana"/>
          <w:color w:val="000000"/>
          <w:szCs w:val="20"/>
        </w:rPr>
      </w:pPr>
      <w:r w:rsidRPr="005A2CF8">
        <w:rPr>
          <w:rFonts w:ascii="Verdana" w:hAnsi="Verdana"/>
          <w:color w:val="000000"/>
          <w:szCs w:val="20"/>
        </w:rPr>
        <w:t xml:space="preserve">A JV </w:t>
      </w:r>
      <w:r>
        <w:rPr>
          <w:rFonts w:ascii="Verdana" w:hAnsi="Verdana"/>
          <w:color w:val="000000"/>
          <w:szCs w:val="20"/>
        </w:rPr>
        <w:t xml:space="preserve">adding expenses </w:t>
      </w:r>
      <w:r w:rsidRPr="005A2CF8">
        <w:rPr>
          <w:rFonts w:ascii="Verdana" w:hAnsi="Verdana"/>
          <w:color w:val="000000"/>
          <w:szCs w:val="20"/>
        </w:rPr>
        <w:t xml:space="preserve">cannot be processed on a closed </w:t>
      </w:r>
      <w:r>
        <w:rPr>
          <w:rFonts w:ascii="Verdana" w:hAnsi="Verdana"/>
          <w:color w:val="000000"/>
          <w:szCs w:val="20"/>
        </w:rPr>
        <w:t>sponsored project</w:t>
      </w:r>
      <w:r w:rsidR="006C112E">
        <w:rPr>
          <w:rFonts w:ascii="Verdana" w:hAnsi="Verdana"/>
          <w:color w:val="000000"/>
          <w:szCs w:val="20"/>
        </w:rPr>
        <w:t>;</w:t>
      </w:r>
    </w:p>
    <w:p w:rsidR="008F5465" w:rsidRDefault="000B4B82" w:rsidP="008F5465">
      <w:pPr>
        <w:pStyle w:val="ListParagraph"/>
        <w:widowControl/>
        <w:numPr>
          <w:ilvl w:val="3"/>
          <w:numId w:val="9"/>
        </w:numPr>
        <w:spacing w:before="100" w:after="240"/>
        <w:rPr>
          <w:rFonts w:ascii="Verdana" w:hAnsi="Verdana"/>
          <w:color w:val="000000"/>
          <w:szCs w:val="20"/>
        </w:rPr>
      </w:pPr>
      <w:r w:rsidRPr="008F5465">
        <w:rPr>
          <w:rFonts w:ascii="Verdana" w:hAnsi="Verdana"/>
          <w:color w:val="000000"/>
          <w:szCs w:val="20"/>
        </w:rPr>
        <w:t>A JV that will overspend a budget line or a sponsored project</w:t>
      </w:r>
      <w:r w:rsidR="006C112E">
        <w:rPr>
          <w:rFonts w:ascii="Verdana" w:hAnsi="Verdana"/>
          <w:color w:val="000000"/>
          <w:szCs w:val="20"/>
        </w:rPr>
        <w:t>;</w:t>
      </w:r>
    </w:p>
    <w:p w:rsidR="000B4B82" w:rsidRPr="008F5465" w:rsidRDefault="000B4B82" w:rsidP="008F5465">
      <w:pPr>
        <w:pStyle w:val="ListParagraph"/>
        <w:widowControl/>
        <w:numPr>
          <w:ilvl w:val="3"/>
          <w:numId w:val="9"/>
        </w:numPr>
        <w:spacing w:before="100" w:after="240"/>
        <w:rPr>
          <w:rFonts w:ascii="Verdana" w:hAnsi="Verdana"/>
          <w:color w:val="000000"/>
          <w:szCs w:val="20"/>
        </w:rPr>
      </w:pPr>
      <w:r w:rsidRPr="008F5465">
        <w:rPr>
          <w:rFonts w:ascii="Verdana" w:hAnsi="Verdana"/>
          <w:color w:val="000000"/>
          <w:szCs w:val="20"/>
        </w:rPr>
        <w:t>A JV that moves “force posted” pro card charges from a departmental cost center to a sponsored project will not be processed without approval of the SPA Director</w:t>
      </w:r>
      <w:r w:rsidR="006C112E">
        <w:rPr>
          <w:rFonts w:ascii="Verdana" w:hAnsi="Verdana"/>
          <w:color w:val="000000"/>
          <w:szCs w:val="20"/>
        </w:rPr>
        <w:t>;</w:t>
      </w:r>
    </w:p>
    <w:p w:rsidR="008F5465" w:rsidRDefault="008F5465" w:rsidP="008F5465">
      <w:pPr>
        <w:pStyle w:val="ListParagraph"/>
        <w:widowControl/>
        <w:numPr>
          <w:ilvl w:val="0"/>
          <w:numId w:val="10"/>
        </w:numPr>
        <w:rPr>
          <w:rFonts w:ascii="Verdana" w:hAnsi="Verdana"/>
          <w:bCs/>
          <w:szCs w:val="20"/>
        </w:rPr>
      </w:pPr>
      <w:r w:rsidRPr="003B4E42">
        <w:rPr>
          <w:rFonts w:ascii="Verdana" w:hAnsi="Verdana"/>
          <w:bCs/>
          <w:szCs w:val="20"/>
        </w:rPr>
        <w:t>For DHHS awards, requests for cost transfers beyond 90 days are unallo</w:t>
      </w:r>
      <w:r w:rsidR="006C112E">
        <w:rPr>
          <w:rFonts w:ascii="Verdana" w:hAnsi="Verdana"/>
          <w:bCs/>
          <w:szCs w:val="20"/>
        </w:rPr>
        <w:t>wable according to the DHHS GPS;</w:t>
      </w:r>
      <w:r w:rsidRPr="003B4E42">
        <w:rPr>
          <w:rFonts w:ascii="Verdana" w:hAnsi="Verdana"/>
          <w:bCs/>
          <w:szCs w:val="20"/>
        </w:rPr>
        <w:t xml:space="preserve">   </w:t>
      </w:r>
    </w:p>
    <w:p w:rsidR="008F5465" w:rsidRDefault="008F5465" w:rsidP="008F5465">
      <w:pPr>
        <w:pStyle w:val="ListParagraph"/>
        <w:widowControl/>
        <w:ind w:left="2520"/>
        <w:rPr>
          <w:rFonts w:ascii="Verdana" w:hAnsi="Verdana"/>
          <w:bCs/>
          <w:szCs w:val="20"/>
        </w:rPr>
      </w:pPr>
    </w:p>
    <w:p w:rsidR="008F5465" w:rsidRDefault="008F5465" w:rsidP="008F5465">
      <w:pPr>
        <w:pStyle w:val="ListParagraph"/>
        <w:widowControl/>
        <w:numPr>
          <w:ilvl w:val="0"/>
          <w:numId w:val="10"/>
        </w:numPr>
        <w:rPr>
          <w:rFonts w:ascii="Verdana" w:hAnsi="Verdana"/>
          <w:color w:val="000000"/>
          <w:szCs w:val="20"/>
        </w:rPr>
      </w:pPr>
      <w:r w:rsidRPr="006C112E">
        <w:rPr>
          <w:rFonts w:ascii="Verdana" w:hAnsi="Verdana"/>
          <w:color w:val="000000"/>
          <w:szCs w:val="20"/>
        </w:rPr>
        <w:t>A cost transfer changing a general ledger (g/l) account included in the Facilities and Administrative (F&amp;A) Costs calculation (such as office supplies) to a direct g/l account when the documentation refers to an F&amp;A item (such as paper or pencils and pens)</w:t>
      </w:r>
      <w:r w:rsidR="006C112E" w:rsidRPr="006C112E">
        <w:rPr>
          <w:rFonts w:ascii="Verdana" w:hAnsi="Verdana"/>
          <w:color w:val="000000"/>
          <w:szCs w:val="20"/>
        </w:rPr>
        <w:t>, unless the item is budgeted in the accounting system;</w:t>
      </w:r>
      <w:r w:rsidRPr="006C112E">
        <w:rPr>
          <w:rFonts w:ascii="Verdana" w:hAnsi="Verdana"/>
          <w:color w:val="000000"/>
          <w:szCs w:val="20"/>
        </w:rPr>
        <w:t xml:space="preserve"> </w:t>
      </w:r>
    </w:p>
    <w:p w:rsidR="006C112E" w:rsidRPr="006C112E" w:rsidRDefault="006C112E" w:rsidP="006C112E">
      <w:pPr>
        <w:widowControl/>
        <w:rPr>
          <w:rFonts w:ascii="Verdana" w:hAnsi="Verdana"/>
          <w:color w:val="000000"/>
          <w:szCs w:val="20"/>
        </w:rPr>
      </w:pPr>
    </w:p>
    <w:p w:rsidR="008F5465" w:rsidRPr="003B4E42" w:rsidRDefault="008F5465" w:rsidP="008F5465">
      <w:pPr>
        <w:pStyle w:val="ListParagraph"/>
        <w:widowControl/>
        <w:numPr>
          <w:ilvl w:val="0"/>
          <w:numId w:val="10"/>
        </w:numPr>
        <w:rPr>
          <w:rFonts w:ascii="Verdana" w:hAnsi="Verdana"/>
          <w:bCs/>
          <w:szCs w:val="20"/>
        </w:rPr>
      </w:pPr>
      <w:r w:rsidRPr="003B4E42">
        <w:rPr>
          <w:rFonts w:ascii="Verdana" w:hAnsi="Verdana"/>
          <w:color w:val="000000"/>
          <w:szCs w:val="20"/>
        </w:rPr>
        <w:t xml:space="preserve">A JV using faculty-related g/l accounts. Normally, this type of correction must be done through the Faculty Effort System, unless approved by the SPA </w:t>
      </w:r>
      <w:r w:rsidR="006C112E">
        <w:rPr>
          <w:rFonts w:ascii="Verdana" w:hAnsi="Verdana"/>
          <w:color w:val="000000"/>
          <w:szCs w:val="20"/>
        </w:rPr>
        <w:t>Director;</w:t>
      </w:r>
    </w:p>
    <w:p w:rsidR="008F5465" w:rsidRPr="003B4E42" w:rsidRDefault="008F5465" w:rsidP="008F5465">
      <w:pPr>
        <w:pStyle w:val="ListParagraph"/>
        <w:rPr>
          <w:rFonts w:ascii="Verdana" w:hAnsi="Verdana"/>
          <w:color w:val="000000"/>
          <w:szCs w:val="20"/>
        </w:rPr>
      </w:pPr>
    </w:p>
    <w:p w:rsidR="000B4B82" w:rsidRPr="006C112E" w:rsidRDefault="008F5465" w:rsidP="008F5465">
      <w:pPr>
        <w:pStyle w:val="ListParagraph"/>
        <w:widowControl/>
        <w:numPr>
          <w:ilvl w:val="0"/>
          <w:numId w:val="10"/>
        </w:numPr>
        <w:rPr>
          <w:rFonts w:ascii="Verdana" w:hAnsi="Verdana"/>
          <w:bCs/>
          <w:szCs w:val="20"/>
        </w:rPr>
      </w:pPr>
      <w:r w:rsidRPr="003B4E42">
        <w:rPr>
          <w:rFonts w:ascii="Verdana" w:hAnsi="Verdana"/>
          <w:color w:val="000000"/>
          <w:szCs w:val="20"/>
        </w:rPr>
        <w:t>A JV moving over-expenditures to another sponsored project at the end of the credited project</w:t>
      </w:r>
      <w:r w:rsidR="006C112E">
        <w:rPr>
          <w:rFonts w:ascii="Verdana" w:hAnsi="Verdana"/>
          <w:color w:val="000000"/>
          <w:szCs w:val="20"/>
        </w:rPr>
        <w:t>; or</w:t>
      </w:r>
    </w:p>
    <w:p w:rsidR="006C112E" w:rsidRPr="006C112E" w:rsidRDefault="006C112E" w:rsidP="006C112E">
      <w:pPr>
        <w:pStyle w:val="ListParagraph"/>
        <w:rPr>
          <w:rFonts w:ascii="Verdana" w:hAnsi="Verdana"/>
          <w:bCs/>
          <w:szCs w:val="20"/>
        </w:rPr>
      </w:pPr>
    </w:p>
    <w:p w:rsidR="006C112E" w:rsidRPr="006C112E" w:rsidRDefault="006C112E" w:rsidP="006C112E">
      <w:pPr>
        <w:pStyle w:val="ListParagraph"/>
        <w:widowControl/>
        <w:numPr>
          <w:ilvl w:val="0"/>
          <w:numId w:val="10"/>
        </w:numPr>
        <w:rPr>
          <w:rFonts w:ascii="Verdana" w:hAnsi="Verdana"/>
          <w:bCs/>
          <w:szCs w:val="20"/>
        </w:rPr>
      </w:pPr>
      <w:r w:rsidRPr="003B4E42">
        <w:rPr>
          <w:rFonts w:ascii="Verdana" w:hAnsi="Verdana"/>
          <w:color w:val="000000"/>
          <w:szCs w:val="20"/>
        </w:rPr>
        <w:t>A cost transfer crediting the Dean’s direct overrun account</w:t>
      </w:r>
      <w:r w:rsidR="0094326E">
        <w:rPr>
          <w:rFonts w:ascii="Verdana" w:hAnsi="Verdana"/>
          <w:color w:val="000000"/>
          <w:szCs w:val="20"/>
        </w:rPr>
        <w:t>.</w:t>
      </w:r>
    </w:p>
    <w:p w:rsidR="008F5465" w:rsidRPr="008F5465" w:rsidRDefault="008F5465" w:rsidP="008F5465">
      <w:pPr>
        <w:widowControl/>
        <w:rPr>
          <w:rFonts w:ascii="Verdana" w:hAnsi="Verdana"/>
          <w:bCs/>
          <w:szCs w:val="20"/>
        </w:rPr>
      </w:pPr>
    </w:p>
    <w:p w:rsidR="00A04D81" w:rsidRPr="007336B0" w:rsidRDefault="00A04D81" w:rsidP="007336B0">
      <w:pPr>
        <w:pStyle w:val="ListParagraph"/>
        <w:widowControl/>
        <w:numPr>
          <w:ilvl w:val="0"/>
          <w:numId w:val="18"/>
        </w:numPr>
        <w:spacing w:before="100" w:after="240"/>
        <w:rPr>
          <w:rFonts w:ascii="Verdana" w:hAnsi="Verdana"/>
          <w:color w:val="000000"/>
          <w:szCs w:val="20"/>
        </w:rPr>
      </w:pPr>
      <w:r w:rsidRPr="007336B0">
        <w:rPr>
          <w:rFonts w:ascii="Verdana" w:hAnsi="Verdana"/>
          <w:color w:val="000000"/>
          <w:szCs w:val="20"/>
        </w:rPr>
        <w:t>Closely Related Work</w:t>
      </w:r>
      <w:r w:rsidR="00AD77B0" w:rsidRPr="007336B0">
        <w:rPr>
          <w:rFonts w:ascii="Verdana" w:hAnsi="Verdana"/>
          <w:color w:val="000000"/>
          <w:szCs w:val="20"/>
        </w:rPr>
        <w:t xml:space="preserve"> </w:t>
      </w:r>
    </w:p>
    <w:p w:rsidR="00B002CD" w:rsidRDefault="00B002CD" w:rsidP="00A04D81">
      <w:pPr>
        <w:widowControl/>
        <w:spacing w:before="100" w:after="240"/>
        <w:ind w:left="1098"/>
        <w:rPr>
          <w:rFonts w:ascii="Verdana" w:hAnsi="Verdana"/>
          <w:color w:val="000000"/>
          <w:szCs w:val="20"/>
        </w:rPr>
      </w:pPr>
      <w:r w:rsidRPr="00B002CD">
        <w:rPr>
          <w:rFonts w:ascii="Verdana" w:hAnsi="Verdana"/>
          <w:color w:val="000000"/>
          <w:szCs w:val="20"/>
        </w:rPr>
        <w:t xml:space="preserve">When the work supported by one sponsored project is determined to represent work closely related to that of another sponsored project, a cost transfer from one of the </w:t>
      </w:r>
      <w:r w:rsidR="008B159E">
        <w:rPr>
          <w:rFonts w:ascii="Verdana" w:hAnsi="Verdana"/>
          <w:color w:val="000000"/>
          <w:szCs w:val="20"/>
        </w:rPr>
        <w:t>cost objects</w:t>
      </w:r>
      <w:r w:rsidRPr="00B002CD">
        <w:rPr>
          <w:rFonts w:ascii="Verdana" w:hAnsi="Verdana"/>
          <w:color w:val="000000"/>
          <w:szCs w:val="20"/>
        </w:rPr>
        <w:t xml:space="preserve"> to the other might be legitimately made with prior written approval from the sponsor receiving the charge.</w:t>
      </w:r>
      <w:r>
        <w:rPr>
          <w:rFonts w:ascii="Verdana" w:hAnsi="Verdana"/>
          <w:color w:val="000000"/>
          <w:szCs w:val="20"/>
        </w:rPr>
        <w:t xml:space="preserve"> </w:t>
      </w:r>
      <w:r w:rsidRPr="00B002CD">
        <w:rPr>
          <w:rFonts w:ascii="Verdana" w:hAnsi="Verdana"/>
          <w:color w:val="000000"/>
          <w:szCs w:val="20"/>
        </w:rPr>
        <w:t>At a minimum, the following conditions must be met to justify a cost transfer on the grounds that the activity qualifies as "closely related work":</w:t>
      </w:r>
    </w:p>
    <w:p w:rsidR="00B002CD" w:rsidRDefault="00B002CD" w:rsidP="00EE7061">
      <w:pPr>
        <w:pStyle w:val="ListParagraph"/>
        <w:widowControl/>
        <w:numPr>
          <w:ilvl w:val="6"/>
          <w:numId w:val="1"/>
        </w:numPr>
        <w:spacing w:before="100" w:after="240"/>
        <w:rPr>
          <w:rFonts w:ascii="Verdana" w:hAnsi="Verdana"/>
          <w:color w:val="000000"/>
          <w:szCs w:val="20"/>
        </w:rPr>
      </w:pPr>
      <w:r w:rsidRPr="00B002CD">
        <w:rPr>
          <w:rFonts w:ascii="Verdana" w:hAnsi="Verdana"/>
          <w:color w:val="000000"/>
          <w:szCs w:val="20"/>
        </w:rPr>
        <w:t>The projects are scientifica</w:t>
      </w:r>
      <w:r w:rsidR="0094326E">
        <w:rPr>
          <w:rFonts w:ascii="Verdana" w:hAnsi="Verdana"/>
          <w:color w:val="000000"/>
          <w:szCs w:val="20"/>
        </w:rPr>
        <w:t>lly and technically related;</w:t>
      </w:r>
    </w:p>
    <w:p w:rsidR="00B002CD" w:rsidRDefault="00B002CD" w:rsidP="00EE7061">
      <w:pPr>
        <w:pStyle w:val="ListParagraph"/>
        <w:widowControl/>
        <w:numPr>
          <w:ilvl w:val="6"/>
          <w:numId w:val="1"/>
        </w:numPr>
        <w:spacing w:before="100" w:after="240"/>
        <w:rPr>
          <w:rFonts w:ascii="Verdana" w:hAnsi="Verdana"/>
          <w:color w:val="000000"/>
          <w:szCs w:val="20"/>
        </w:rPr>
      </w:pPr>
      <w:r w:rsidRPr="00B002CD">
        <w:rPr>
          <w:rFonts w:ascii="Verdana" w:hAnsi="Verdana"/>
          <w:color w:val="000000"/>
          <w:szCs w:val="20"/>
        </w:rPr>
        <w:t>The projects are under the direction of the same principal investigator</w:t>
      </w:r>
      <w:r w:rsidR="0094326E">
        <w:rPr>
          <w:rFonts w:ascii="Verdana" w:hAnsi="Verdana"/>
          <w:color w:val="000000"/>
          <w:szCs w:val="20"/>
        </w:rPr>
        <w:t>;</w:t>
      </w:r>
    </w:p>
    <w:p w:rsidR="00B002CD" w:rsidRDefault="00B002CD" w:rsidP="00EE7061">
      <w:pPr>
        <w:pStyle w:val="ListParagraph"/>
        <w:widowControl/>
        <w:numPr>
          <w:ilvl w:val="6"/>
          <w:numId w:val="1"/>
        </w:numPr>
        <w:spacing w:before="100" w:after="240"/>
        <w:rPr>
          <w:rFonts w:ascii="Verdana" w:hAnsi="Verdana"/>
          <w:color w:val="000000"/>
          <w:szCs w:val="20"/>
        </w:rPr>
      </w:pPr>
      <w:r w:rsidRPr="00B002CD">
        <w:rPr>
          <w:rFonts w:ascii="Verdana" w:hAnsi="Verdana"/>
          <w:color w:val="000000"/>
          <w:szCs w:val="20"/>
        </w:rPr>
        <w:t xml:space="preserve">There is no change in the scope of </w:t>
      </w:r>
      <w:r w:rsidR="0094326E">
        <w:rPr>
          <w:rFonts w:ascii="Verdana" w:hAnsi="Verdana"/>
          <w:color w:val="000000"/>
          <w:szCs w:val="20"/>
        </w:rPr>
        <w:t>the sponsored projects involved;</w:t>
      </w:r>
    </w:p>
    <w:p w:rsidR="00B002CD" w:rsidRDefault="00B002CD" w:rsidP="00EE7061">
      <w:pPr>
        <w:pStyle w:val="ListParagraph"/>
        <w:widowControl/>
        <w:numPr>
          <w:ilvl w:val="6"/>
          <w:numId w:val="1"/>
        </w:numPr>
        <w:spacing w:before="100" w:after="240"/>
        <w:rPr>
          <w:rFonts w:ascii="Verdana" w:hAnsi="Verdana"/>
          <w:color w:val="000000"/>
          <w:szCs w:val="20"/>
        </w:rPr>
      </w:pPr>
      <w:r w:rsidRPr="00B002CD">
        <w:rPr>
          <w:rFonts w:ascii="Verdana" w:hAnsi="Verdana"/>
          <w:color w:val="000000"/>
          <w:szCs w:val="20"/>
        </w:rPr>
        <w:t>The relating of costs will not be detrimental to the conduct of work under each award</w:t>
      </w:r>
      <w:r w:rsidR="0094326E">
        <w:rPr>
          <w:rFonts w:ascii="Verdana" w:hAnsi="Verdana"/>
          <w:color w:val="000000"/>
          <w:szCs w:val="20"/>
        </w:rPr>
        <w:t>; and</w:t>
      </w:r>
    </w:p>
    <w:p w:rsidR="00B002CD" w:rsidRPr="00B002CD" w:rsidRDefault="00B002CD" w:rsidP="00EE7061">
      <w:pPr>
        <w:pStyle w:val="ListParagraph"/>
        <w:widowControl/>
        <w:numPr>
          <w:ilvl w:val="6"/>
          <w:numId w:val="1"/>
        </w:numPr>
        <w:spacing w:before="100" w:after="240"/>
        <w:rPr>
          <w:rFonts w:ascii="Verdana" w:hAnsi="Verdana"/>
          <w:color w:val="000000"/>
          <w:szCs w:val="20"/>
        </w:rPr>
      </w:pPr>
      <w:r w:rsidRPr="00B002CD">
        <w:rPr>
          <w:rFonts w:ascii="Verdana" w:hAnsi="Verdana"/>
          <w:color w:val="000000"/>
          <w:szCs w:val="20"/>
        </w:rPr>
        <w:t>The relatedness will not be used to circumvent the terms and conditions of the awards.</w:t>
      </w:r>
    </w:p>
    <w:p w:rsidR="00C43F8C" w:rsidRPr="004621DF" w:rsidRDefault="00C43F8C" w:rsidP="004D3D6D">
      <w:pPr>
        <w:pStyle w:val="ListParagraph"/>
        <w:widowControl/>
        <w:ind w:left="1098"/>
        <w:rPr>
          <w:rFonts w:ascii="Verdana" w:hAnsi="Verdana"/>
          <w:bCs/>
          <w:szCs w:val="20"/>
        </w:rPr>
      </w:pPr>
    </w:p>
    <w:p w:rsidR="00C43F8C" w:rsidRDefault="00C43F8C" w:rsidP="00EE7061">
      <w:pPr>
        <w:pStyle w:val="ListParagraph"/>
        <w:widowControl/>
        <w:numPr>
          <w:ilvl w:val="0"/>
          <w:numId w:val="8"/>
        </w:numPr>
        <w:rPr>
          <w:rFonts w:ascii="Verdana" w:hAnsi="Verdana"/>
          <w:b/>
          <w:bCs/>
          <w:szCs w:val="20"/>
        </w:rPr>
      </w:pPr>
      <w:r w:rsidRPr="005A2CF8">
        <w:rPr>
          <w:rFonts w:ascii="Verdana" w:hAnsi="Verdana"/>
          <w:b/>
          <w:bCs/>
          <w:szCs w:val="20"/>
        </w:rPr>
        <w:t>Procedures</w:t>
      </w:r>
    </w:p>
    <w:p w:rsidR="005A2CF8" w:rsidRPr="005A2CF8" w:rsidRDefault="005A2CF8" w:rsidP="005A2CF8">
      <w:pPr>
        <w:pStyle w:val="ListParagraph"/>
        <w:widowControl/>
        <w:ind w:left="1080"/>
        <w:rPr>
          <w:rFonts w:ascii="Verdana" w:hAnsi="Verdana"/>
          <w:b/>
          <w:bCs/>
          <w:szCs w:val="20"/>
        </w:rPr>
      </w:pPr>
    </w:p>
    <w:p w:rsidR="0094326E" w:rsidRPr="0094326E" w:rsidRDefault="008F5465" w:rsidP="0094326E">
      <w:pPr>
        <w:widowControl/>
        <w:ind w:left="720"/>
        <w:rPr>
          <w:rFonts w:ascii="Verdana" w:hAnsi="Verdana"/>
          <w:bCs/>
          <w:szCs w:val="20"/>
        </w:rPr>
      </w:pPr>
      <w:r w:rsidRPr="0094326E">
        <w:rPr>
          <w:rFonts w:ascii="Verdana" w:hAnsi="Verdana"/>
          <w:color w:val="000000"/>
          <w:szCs w:val="20"/>
        </w:rPr>
        <w:t>Any cost transfer should be so complete or detailed, that a person completely removed from the situation (</w:t>
      </w:r>
      <w:r w:rsidR="0094326E">
        <w:rPr>
          <w:rFonts w:ascii="Verdana" w:hAnsi="Verdana"/>
          <w:color w:val="000000"/>
          <w:szCs w:val="20"/>
        </w:rPr>
        <w:t>f</w:t>
      </w:r>
      <w:r w:rsidRPr="0094326E">
        <w:rPr>
          <w:rFonts w:ascii="Verdana" w:hAnsi="Verdana"/>
          <w:color w:val="000000"/>
          <w:szCs w:val="20"/>
        </w:rPr>
        <w:t xml:space="preserve">or example, an </w:t>
      </w:r>
      <w:r w:rsidR="0094326E">
        <w:rPr>
          <w:rFonts w:ascii="Verdana" w:hAnsi="Verdana"/>
          <w:color w:val="000000"/>
          <w:szCs w:val="20"/>
        </w:rPr>
        <w:t>a</w:t>
      </w:r>
      <w:r w:rsidRPr="0094326E">
        <w:rPr>
          <w:rFonts w:ascii="Verdana" w:hAnsi="Verdana"/>
          <w:color w:val="000000"/>
          <w:szCs w:val="20"/>
        </w:rPr>
        <w:t>uditor) will be able to look at the request</w:t>
      </w:r>
      <w:r w:rsidR="0094326E" w:rsidRPr="0094326E">
        <w:rPr>
          <w:rFonts w:ascii="Verdana" w:hAnsi="Verdana"/>
          <w:color w:val="000000"/>
          <w:szCs w:val="20"/>
        </w:rPr>
        <w:t>, the complete explanation</w:t>
      </w:r>
      <w:r w:rsidRPr="0094326E">
        <w:rPr>
          <w:rFonts w:ascii="Verdana" w:hAnsi="Verdana"/>
          <w:color w:val="000000"/>
          <w:szCs w:val="20"/>
        </w:rPr>
        <w:t xml:space="preserve"> and its accompanying documentation five years from now and know what and why this entry was made.</w:t>
      </w:r>
      <w:r w:rsidR="0094326E" w:rsidRPr="0094326E">
        <w:rPr>
          <w:rFonts w:ascii="Verdana" w:hAnsi="Verdana"/>
          <w:color w:val="000000"/>
          <w:szCs w:val="20"/>
        </w:rPr>
        <w:t xml:space="preserve">  If all requirements are not met or if denied by SPA the un-posted document will be returned to the dept</w:t>
      </w:r>
      <w:r w:rsidR="0094326E">
        <w:rPr>
          <w:rFonts w:ascii="Verdana" w:hAnsi="Verdana"/>
          <w:color w:val="000000"/>
          <w:szCs w:val="20"/>
        </w:rPr>
        <w:t xml:space="preserve"> or SPA may post the expenses to departmental cost center or cost share fund as deemed appropriate</w:t>
      </w:r>
      <w:r w:rsidR="0094326E" w:rsidRPr="0094326E">
        <w:rPr>
          <w:rFonts w:ascii="Verdana" w:hAnsi="Verdana"/>
          <w:color w:val="000000"/>
          <w:szCs w:val="20"/>
        </w:rPr>
        <w:t>.</w:t>
      </w:r>
    </w:p>
    <w:p w:rsidR="008F5465" w:rsidRDefault="008F5465" w:rsidP="008F5465">
      <w:pPr>
        <w:widowControl/>
        <w:ind w:left="1080"/>
        <w:rPr>
          <w:rFonts w:ascii="Verdana" w:hAnsi="Verdana"/>
          <w:bCs/>
          <w:szCs w:val="20"/>
        </w:rPr>
      </w:pPr>
    </w:p>
    <w:p w:rsidR="008F5465" w:rsidRDefault="008F5465" w:rsidP="007336B0">
      <w:pPr>
        <w:widowControl/>
        <w:ind w:left="360" w:firstLine="720"/>
        <w:rPr>
          <w:rFonts w:ascii="Verdana" w:hAnsi="Verdana"/>
          <w:bCs/>
          <w:szCs w:val="20"/>
        </w:rPr>
      </w:pPr>
    </w:p>
    <w:p w:rsidR="00AB6016" w:rsidRPr="008F5465" w:rsidRDefault="00AB6016" w:rsidP="008F5465">
      <w:pPr>
        <w:pStyle w:val="ListParagraph"/>
        <w:widowControl/>
        <w:numPr>
          <w:ilvl w:val="0"/>
          <w:numId w:val="19"/>
        </w:numPr>
        <w:rPr>
          <w:rFonts w:ascii="Verdana" w:hAnsi="Verdana"/>
          <w:bCs/>
          <w:szCs w:val="20"/>
        </w:rPr>
      </w:pPr>
      <w:r w:rsidRPr="008F5465">
        <w:rPr>
          <w:rFonts w:ascii="Verdana" w:hAnsi="Verdana"/>
          <w:bCs/>
          <w:szCs w:val="20"/>
        </w:rPr>
        <w:t xml:space="preserve">The request for </w:t>
      </w:r>
      <w:r w:rsidR="000B4B82" w:rsidRPr="008F5465">
        <w:rPr>
          <w:rFonts w:ascii="Verdana" w:hAnsi="Verdana"/>
          <w:bCs/>
          <w:szCs w:val="20"/>
        </w:rPr>
        <w:t xml:space="preserve">non-personnel </w:t>
      </w:r>
      <w:r w:rsidRPr="008F5465">
        <w:rPr>
          <w:rFonts w:ascii="Verdana" w:hAnsi="Verdana"/>
          <w:bCs/>
          <w:szCs w:val="20"/>
        </w:rPr>
        <w:t>cost transfer</w:t>
      </w:r>
      <w:r w:rsidR="000B4B82" w:rsidRPr="008F5465">
        <w:rPr>
          <w:rFonts w:ascii="Verdana" w:hAnsi="Verdana"/>
          <w:bCs/>
          <w:szCs w:val="20"/>
        </w:rPr>
        <w:t>s</w:t>
      </w:r>
      <w:r w:rsidRPr="008F5465">
        <w:rPr>
          <w:rFonts w:ascii="Verdana" w:hAnsi="Verdana"/>
          <w:bCs/>
          <w:szCs w:val="20"/>
        </w:rPr>
        <w:t xml:space="preserve"> must include:</w:t>
      </w:r>
    </w:p>
    <w:p w:rsidR="000B4B82" w:rsidRDefault="000B4B82" w:rsidP="008466F1">
      <w:pPr>
        <w:pStyle w:val="ListParagraph"/>
        <w:widowControl/>
        <w:ind w:left="1098"/>
        <w:rPr>
          <w:rFonts w:ascii="Verdana" w:hAnsi="Verdana"/>
          <w:bCs/>
          <w:szCs w:val="20"/>
        </w:rPr>
      </w:pPr>
    </w:p>
    <w:p w:rsidR="0094326E" w:rsidRDefault="000B4B82" w:rsidP="0094326E">
      <w:pPr>
        <w:pStyle w:val="ListParagraph"/>
        <w:widowControl/>
        <w:numPr>
          <w:ilvl w:val="3"/>
          <w:numId w:val="9"/>
        </w:numPr>
        <w:rPr>
          <w:rFonts w:ascii="Verdana" w:hAnsi="Verdana"/>
          <w:bCs/>
          <w:szCs w:val="20"/>
        </w:rPr>
      </w:pPr>
      <w:r>
        <w:rPr>
          <w:rFonts w:ascii="Verdana" w:hAnsi="Verdana"/>
          <w:bCs/>
          <w:szCs w:val="20"/>
        </w:rPr>
        <w:t>Journal voucher document</w:t>
      </w:r>
      <w:r w:rsidR="0085702A">
        <w:rPr>
          <w:rFonts w:ascii="Verdana" w:hAnsi="Verdana"/>
          <w:bCs/>
          <w:szCs w:val="20"/>
        </w:rPr>
        <w:t>;</w:t>
      </w:r>
    </w:p>
    <w:p w:rsidR="0094326E" w:rsidRDefault="0094326E" w:rsidP="0094326E">
      <w:pPr>
        <w:pStyle w:val="ListParagraph"/>
        <w:widowControl/>
        <w:ind w:left="2106"/>
        <w:rPr>
          <w:rFonts w:ascii="Verdana" w:hAnsi="Verdana"/>
          <w:bCs/>
          <w:szCs w:val="20"/>
        </w:rPr>
      </w:pPr>
    </w:p>
    <w:p w:rsidR="0094326E" w:rsidRPr="0094326E" w:rsidRDefault="0094326E" w:rsidP="0094326E">
      <w:pPr>
        <w:pStyle w:val="ListParagraph"/>
        <w:widowControl/>
        <w:numPr>
          <w:ilvl w:val="3"/>
          <w:numId w:val="9"/>
        </w:numPr>
        <w:rPr>
          <w:rFonts w:ascii="Verdana" w:hAnsi="Verdana"/>
          <w:bCs/>
          <w:szCs w:val="20"/>
        </w:rPr>
      </w:pPr>
      <w:r>
        <w:rPr>
          <w:rFonts w:ascii="Verdana" w:hAnsi="Verdana"/>
          <w:bCs/>
          <w:szCs w:val="20"/>
        </w:rPr>
        <w:t>Journal voucher explanation form;</w:t>
      </w:r>
    </w:p>
    <w:p w:rsidR="000B4B82" w:rsidRDefault="000B4B82" w:rsidP="000B4B82">
      <w:pPr>
        <w:pStyle w:val="ListParagraph"/>
        <w:widowControl/>
        <w:ind w:left="1602"/>
        <w:rPr>
          <w:rFonts w:ascii="Verdana" w:hAnsi="Verdana"/>
          <w:bCs/>
          <w:szCs w:val="20"/>
        </w:rPr>
      </w:pPr>
    </w:p>
    <w:p w:rsidR="0094326E" w:rsidRDefault="00AB6016" w:rsidP="008F5465">
      <w:pPr>
        <w:pStyle w:val="ListParagraph"/>
        <w:widowControl/>
        <w:numPr>
          <w:ilvl w:val="3"/>
          <w:numId w:val="9"/>
        </w:numPr>
        <w:rPr>
          <w:rFonts w:ascii="Verdana" w:hAnsi="Verdana"/>
          <w:bCs/>
          <w:szCs w:val="20"/>
        </w:rPr>
      </w:pPr>
      <w:r w:rsidRPr="00CF722E">
        <w:rPr>
          <w:rFonts w:ascii="Verdana" w:hAnsi="Verdana"/>
          <w:bCs/>
          <w:szCs w:val="20"/>
        </w:rPr>
        <w:t>Specific identification of the original charge</w:t>
      </w:r>
      <w:r w:rsidR="0094326E">
        <w:rPr>
          <w:rFonts w:ascii="Verdana" w:hAnsi="Verdana"/>
          <w:bCs/>
          <w:szCs w:val="20"/>
        </w:rPr>
        <w:t>;</w:t>
      </w:r>
    </w:p>
    <w:p w:rsidR="0094326E" w:rsidRPr="0094326E" w:rsidRDefault="0094326E" w:rsidP="0094326E">
      <w:pPr>
        <w:pStyle w:val="ListParagraph"/>
        <w:rPr>
          <w:rFonts w:ascii="Verdana" w:hAnsi="Verdana"/>
          <w:bCs/>
          <w:szCs w:val="20"/>
        </w:rPr>
      </w:pPr>
    </w:p>
    <w:p w:rsidR="00AB6016" w:rsidRDefault="00AB6016" w:rsidP="008F5465">
      <w:pPr>
        <w:pStyle w:val="ListParagraph"/>
        <w:widowControl/>
        <w:numPr>
          <w:ilvl w:val="3"/>
          <w:numId w:val="9"/>
        </w:numPr>
        <w:rPr>
          <w:rFonts w:ascii="Verdana" w:hAnsi="Verdana"/>
          <w:bCs/>
          <w:szCs w:val="20"/>
        </w:rPr>
      </w:pPr>
      <w:r w:rsidRPr="00CF722E">
        <w:rPr>
          <w:rFonts w:ascii="Verdana" w:hAnsi="Verdana"/>
          <w:bCs/>
          <w:szCs w:val="20"/>
        </w:rPr>
        <w:t xml:space="preserve">Copy of the originating documents such as a purchase orders, DAVs, or travel vouchers and all supporting vendor invoices, receipts, </w:t>
      </w:r>
      <w:r w:rsidR="00BF5CBD">
        <w:rPr>
          <w:rFonts w:ascii="Verdana" w:hAnsi="Verdana"/>
          <w:bCs/>
          <w:szCs w:val="20"/>
        </w:rPr>
        <w:t xml:space="preserve">copies of recurring documents such as rental or lease agreements </w:t>
      </w:r>
      <w:r w:rsidRPr="00CF722E">
        <w:rPr>
          <w:rFonts w:ascii="Verdana" w:hAnsi="Verdana"/>
          <w:bCs/>
          <w:szCs w:val="20"/>
        </w:rPr>
        <w:t>or othe</w:t>
      </w:r>
      <w:r w:rsidR="0094326E">
        <w:rPr>
          <w:rFonts w:ascii="Verdana" w:hAnsi="Verdana"/>
          <w:bCs/>
          <w:szCs w:val="20"/>
        </w:rPr>
        <w:t>r documentation as appropriate;</w:t>
      </w:r>
    </w:p>
    <w:p w:rsidR="000B4B82" w:rsidRPr="000B4B82" w:rsidRDefault="000B4B82" w:rsidP="008F5465">
      <w:pPr>
        <w:widowControl/>
        <w:ind w:left="720"/>
        <w:rPr>
          <w:rFonts w:ascii="Verdana" w:hAnsi="Verdana"/>
          <w:bCs/>
          <w:szCs w:val="20"/>
        </w:rPr>
      </w:pPr>
    </w:p>
    <w:p w:rsidR="0094326E" w:rsidRDefault="00AB6016" w:rsidP="008F5465">
      <w:pPr>
        <w:pStyle w:val="ListParagraph"/>
        <w:widowControl/>
        <w:numPr>
          <w:ilvl w:val="3"/>
          <w:numId w:val="9"/>
        </w:numPr>
        <w:rPr>
          <w:rFonts w:ascii="Verdana" w:hAnsi="Verdana"/>
          <w:bCs/>
          <w:szCs w:val="20"/>
        </w:rPr>
      </w:pPr>
      <w:r w:rsidRPr="00CF722E">
        <w:rPr>
          <w:rFonts w:ascii="Verdana" w:hAnsi="Verdana"/>
          <w:bCs/>
          <w:szCs w:val="20"/>
        </w:rPr>
        <w:t xml:space="preserve">Justification of the appropriateness </w:t>
      </w:r>
      <w:r w:rsidR="0094326E">
        <w:rPr>
          <w:rFonts w:ascii="Verdana" w:hAnsi="Verdana"/>
          <w:bCs/>
          <w:szCs w:val="20"/>
        </w:rPr>
        <w:t>of the charge to the receiving cost object;</w:t>
      </w:r>
    </w:p>
    <w:p w:rsidR="0094326E" w:rsidRPr="0094326E" w:rsidRDefault="0094326E" w:rsidP="0094326E">
      <w:pPr>
        <w:pStyle w:val="ListParagraph"/>
        <w:rPr>
          <w:rFonts w:ascii="Verdana" w:hAnsi="Verdana"/>
          <w:bCs/>
          <w:szCs w:val="20"/>
        </w:rPr>
      </w:pPr>
    </w:p>
    <w:p w:rsidR="007336B0" w:rsidRDefault="008A3767" w:rsidP="008F5465">
      <w:pPr>
        <w:pStyle w:val="ListParagraph"/>
        <w:widowControl/>
        <w:numPr>
          <w:ilvl w:val="3"/>
          <w:numId w:val="9"/>
        </w:numPr>
        <w:rPr>
          <w:rFonts w:ascii="Verdana" w:hAnsi="Verdana"/>
          <w:bCs/>
          <w:szCs w:val="20"/>
        </w:rPr>
      </w:pPr>
      <w:r w:rsidRPr="00CF722E">
        <w:rPr>
          <w:rFonts w:ascii="Verdana" w:hAnsi="Verdana"/>
          <w:bCs/>
          <w:szCs w:val="20"/>
        </w:rPr>
        <w:t>A full explanation o</w:t>
      </w:r>
      <w:r w:rsidR="0094326E">
        <w:rPr>
          <w:rFonts w:ascii="Verdana" w:hAnsi="Verdana"/>
          <w:bCs/>
          <w:szCs w:val="20"/>
        </w:rPr>
        <w:t>f why the transfer is necessary;</w:t>
      </w:r>
      <w:r w:rsidR="000B4B82" w:rsidRPr="000B4B82">
        <w:rPr>
          <w:rFonts w:ascii="Verdana" w:hAnsi="Verdana"/>
          <w:bCs/>
          <w:szCs w:val="20"/>
        </w:rPr>
        <w:t xml:space="preserve"> </w:t>
      </w:r>
    </w:p>
    <w:p w:rsidR="007336B0" w:rsidRPr="007336B0" w:rsidRDefault="007336B0" w:rsidP="007336B0">
      <w:pPr>
        <w:pStyle w:val="ListParagraph"/>
        <w:rPr>
          <w:rFonts w:ascii="Verdana" w:hAnsi="Verdana"/>
          <w:color w:val="000000"/>
          <w:szCs w:val="20"/>
        </w:rPr>
      </w:pPr>
    </w:p>
    <w:p w:rsidR="007336B0" w:rsidRPr="007336B0" w:rsidRDefault="0094326E" w:rsidP="008F5465">
      <w:pPr>
        <w:pStyle w:val="ListParagraph"/>
        <w:widowControl/>
        <w:numPr>
          <w:ilvl w:val="3"/>
          <w:numId w:val="9"/>
        </w:numPr>
        <w:spacing w:before="100" w:after="240"/>
        <w:rPr>
          <w:rFonts w:ascii="Verdana" w:hAnsi="Verdana"/>
          <w:color w:val="000000"/>
          <w:szCs w:val="20"/>
        </w:rPr>
      </w:pPr>
      <w:r>
        <w:rPr>
          <w:rFonts w:ascii="Verdana" w:hAnsi="Verdana"/>
          <w:bCs/>
          <w:szCs w:val="20"/>
        </w:rPr>
        <w:t>Full allocation method if transfer amount is different from the original documented expense (</w:t>
      </w:r>
      <w:r w:rsidR="007336B0" w:rsidRPr="007336B0">
        <w:rPr>
          <w:rFonts w:ascii="Verdana" w:hAnsi="Verdana"/>
          <w:color w:val="000000"/>
          <w:szCs w:val="20"/>
        </w:rPr>
        <w:t>the written explanation must include the allocation method use</w:t>
      </w:r>
      <w:r>
        <w:rPr>
          <w:rFonts w:ascii="Verdana" w:hAnsi="Verdana"/>
          <w:color w:val="000000"/>
          <w:szCs w:val="20"/>
        </w:rPr>
        <w:t>d and indicate the difference by percentage); and</w:t>
      </w:r>
    </w:p>
    <w:p w:rsidR="000B4B82" w:rsidRDefault="0085702A" w:rsidP="008F5465">
      <w:pPr>
        <w:pStyle w:val="ListParagraph"/>
        <w:widowControl/>
        <w:numPr>
          <w:ilvl w:val="3"/>
          <w:numId w:val="9"/>
        </w:numPr>
        <w:rPr>
          <w:rFonts w:ascii="Verdana" w:hAnsi="Verdana"/>
          <w:bCs/>
          <w:szCs w:val="20"/>
        </w:rPr>
      </w:pPr>
      <w:r>
        <w:rPr>
          <w:rFonts w:ascii="Verdana" w:hAnsi="Verdana"/>
          <w:bCs/>
          <w:szCs w:val="20"/>
        </w:rPr>
        <w:t>Signatures as defined by the timeliness of the transfer</w:t>
      </w:r>
      <w:r w:rsidR="0094326E">
        <w:rPr>
          <w:rFonts w:ascii="Verdana" w:hAnsi="Verdana"/>
          <w:bCs/>
          <w:szCs w:val="20"/>
        </w:rPr>
        <w:t>.</w:t>
      </w:r>
    </w:p>
    <w:p w:rsidR="000B4B82" w:rsidRPr="000B4B82" w:rsidRDefault="000B4B82" w:rsidP="000B4B82">
      <w:pPr>
        <w:pStyle w:val="ListParagraph"/>
        <w:rPr>
          <w:rFonts w:ascii="Verdana" w:hAnsi="Verdana"/>
          <w:bCs/>
          <w:szCs w:val="20"/>
        </w:rPr>
      </w:pPr>
    </w:p>
    <w:p w:rsidR="006C1B44" w:rsidRDefault="006C1B44" w:rsidP="006C1B44">
      <w:pPr>
        <w:widowControl/>
        <w:rPr>
          <w:rFonts w:ascii="Verdana" w:hAnsi="Verdana"/>
          <w:bCs/>
          <w:szCs w:val="20"/>
        </w:rPr>
      </w:pPr>
    </w:p>
    <w:p w:rsidR="00034043" w:rsidRDefault="00034043" w:rsidP="008F5465">
      <w:pPr>
        <w:pStyle w:val="ListParagraph"/>
        <w:widowControl/>
        <w:numPr>
          <w:ilvl w:val="0"/>
          <w:numId w:val="19"/>
        </w:numPr>
        <w:rPr>
          <w:rFonts w:ascii="Verdana" w:hAnsi="Verdana"/>
          <w:bCs/>
          <w:szCs w:val="20"/>
        </w:rPr>
      </w:pPr>
      <w:r>
        <w:rPr>
          <w:rFonts w:ascii="Verdana" w:hAnsi="Verdana"/>
          <w:bCs/>
          <w:szCs w:val="20"/>
        </w:rPr>
        <w:t>Personnel cost transfers documentation via JV should include:</w:t>
      </w:r>
    </w:p>
    <w:p w:rsidR="00034043" w:rsidRDefault="00034043" w:rsidP="00034043">
      <w:pPr>
        <w:pStyle w:val="ListParagraph"/>
        <w:widowControl/>
        <w:ind w:left="2178"/>
        <w:rPr>
          <w:rFonts w:ascii="Verdana" w:hAnsi="Verdana"/>
          <w:bCs/>
          <w:szCs w:val="20"/>
        </w:rPr>
      </w:pPr>
    </w:p>
    <w:p w:rsidR="00034043" w:rsidRDefault="00034043" w:rsidP="00034043">
      <w:pPr>
        <w:pStyle w:val="ListParagraph"/>
        <w:widowControl/>
        <w:numPr>
          <w:ilvl w:val="1"/>
          <w:numId w:val="19"/>
        </w:numPr>
        <w:rPr>
          <w:rFonts w:ascii="Verdana" w:hAnsi="Verdana"/>
          <w:bCs/>
          <w:szCs w:val="20"/>
        </w:rPr>
      </w:pPr>
      <w:r>
        <w:rPr>
          <w:rFonts w:ascii="Verdana" w:hAnsi="Verdana"/>
          <w:bCs/>
          <w:szCs w:val="20"/>
        </w:rPr>
        <w:t>JV explanation form;</w:t>
      </w:r>
    </w:p>
    <w:p w:rsidR="00034043" w:rsidRDefault="00034043" w:rsidP="00034043">
      <w:pPr>
        <w:pStyle w:val="ListParagraph"/>
        <w:widowControl/>
        <w:ind w:left="2178"/>
        <w:rPr>
          <w:rFonts w:ascii="Verdana" w:hAnsi="Verdana"/>
          <w:bCs/>
          <w:szCs w:val="20"/>
        </w:rPr>
      </w:pPr>
    </w:p>
    <w:p w:rsidR="00034043" w:rsidRDefault="00034043" w:rsidP="00034043">
      <w:pPr>
        <w:pStyle w:val="ListParagraph"/>
        <w:widowControl/>
        <w:numPr>
          <w:ilvl w:val="1"/>
          <w:numId w:val="19"/>
        </w:numPr>
        <w:rPr>
          <w:rFonts w:ascii="Verdana" w:hAnsi="Verdana"/>
          <w:bCs/>
          <w:szCs w:val="20"/>
        </w:rPr>
      </w:pPr>
      <w:r>
        <w:rPr>
          <w:rFonts w:ascii="Verdana" w:hAnsi="Verdana"/>
          <w:bCs/>
          <w:szCs w:val="20"/>
        </w:rPr>
        <w:t>A complete explanation of why the transfer was necessary;</w:t>
      </w:r>
    </w:p>
    <w:p w:rsidR="00034043" w:rsidRDefault="00034043" w:rsidP="00034043">
      <w:pPr>
        <w:pStyle w:val="ListParagraph"/>
        <w:widowControl/>
        <w:ind w:left="2178"/>
        <w:rPr>
          <w:rFonts w:ascii="Verdana" w:hAnsi="Verdana"/>
          <w:bCs/>
          <w:szCs w:val="20"/>
        </w:rPr>
      </w:pPr>
    </w:p>
    <w:p w:rsidR="00034043" w:rsidRDefault="00034043" w:rsidP="00034043">
      <w:pPr>
        <w:pStyle w:val="ListParagraph"/>
        <w:widowControl/>
        <w:numPr>
          <w:ilvl w:val="1"/>
          <w:numId w:val="19"/>
        </w:numPr>
        <w:rPr>
          <w:rFonts w:ascii="Verdana" w:hAnsi="Verdana"/>
          <w:bCs/>
          <w:szCs w:val="20"/>
        </w:rPr>
      </w:pPr>
      <w:r w:rsidRPr="00034043">
        <w:rPr>
          <w:rFonts w:ascii="Verdana" w:hAnsi="Verdana"/>
          <w:bCs/>
          <w:szCs w:val="20"/>
        </w:rPr>
        <w:t>Sending a revised certification for the individual to SPA if the effort was previously certified</w:t>
      </w:r>
      <w:r>
        <w:rPr>
          <w:rFonts w:ascii="Verdana" w:hAnsi="Verdana"/>
          <w:bCs/>
          <w:szCs w:val="20"/>
        </w:rPr>
        <w:t xml:space="preserve"> including signatures certifying that the new allocations accurately reflect the effort that the individual expended during the period and rescinding any previous certification of effort</w:t>
      </w:r>
      <w:r w:rsidRPr="00034043">
        <w:rPr>
          <w:rFonts w:ascii="Verdana" w:hAnsi="Verdana"/>
          <w:bCs/>
          <w:szCs w:val="20"/>
        </w:rPr>
        <w:t xml:space="preserve">; or </w:t>
      </w:r>
      <w:r>
        <w:rPr>
          <w:rFonts w:ascii="Verdana" w:hAnsi="Verdana"/>
          <w:bCs/>
          <w:szCs w:val="20"/>
        </w:rPr>
        <w:t>e</w:t>
      </w:r>
      <w:r w:rsidRPr="00034043">
        <w:rPr>
          <w:rFonts w:ascii="Verdana" w:hAnsi="Verdana"/>
          <w:bCs/>
          <w:szCs w:val="20"/>
        </w:rPr>
        <w:t>vidence of coordination with the certifying official to assure proper certification of effort on future certifications;</w:t>
      </w:r>
      <w:r>
        <w:rPr>
          <w:rFonts w:ascii="Verdana" w:hAnsi="Verdana"/>
          <w:bCs/>
          <w:szCs w:val="20"/>
        </w:rPr>
        <w:t xml:space="preserve"> </w:t>
      </w:r>
    </w:p>
    <w:p w:rsidR="00034043" w:rsidRPr="00034043" w:rsidRDefault="00034043" w:rsidP="00034043">
      <w:pPr>
        <w:pStyle w:val="ListParagraph"/>
        <w:rPr>
          <w:rFonts w:ascii="Verdana" w:hAnsi="Verdana"/>
          <w:bCs/>
          <w:szCs w:val="20"/>
        </w:rPr>
      </w:pPr>
    </w:p>
    <w:p w:rsidR="00034043" w:rsidRPr="00034043" w:rsidRDefault="00034043" w:rsidP="00034043">
      <w:pPr>
        <w:pStyle w:val="ListParagraph"/>
        <w:widowControl/>
        <w:numPr>
          <w:ilvl w:val="1"/>
          <w:numId w:val="19"/>
        </w:numPr>
        <w:rPr>
          <w:rFonts w:ascii="Verdana" w:hAnsi="Verdana"/>
          <w:bCs/>
          <w:szCs w:val="20"/>
        </w:rPr>
      </w:pPr>
      <w:r>
        <w:rPr>
          <w:rFonts w:ascii="Verdana" w:hAnsi="Verdana"/>
          <w:bCs/>
          <w:szCs w:val="20"/>
        </w:rPr>
        <w:t>L</w:t>
      </w:r>
      <w:r w:rsidRPr="006C1B44">
        <w:rPr>
          <w:rFonts w:ascii="Verdana" w:hAnsi="Verdana"/>
          <w:bCs/>
          <w:szCs w:val="20"/>
        </w:rPr>
        <w:t>abor distributions or STEPS invoices showing the distribution of effort to each cost object that was originally charged</w:t>
      </w:r>
      <w:r>
        <w:rPr>
          <w:rFonts w:ascii="Verdana" w:hAnsi="Verdana"/>
          <w:bCs/>
          <w:szCs w:val="20"/>
        </w:rPr>
        <w:t xml:space="preserve">; </w:t>
      </w:r>
      <w:r w:rsidRPr="00034043">
        <w:rPr>
          <w:rFonts w:ascii="Verdana" w:hAnsi="Verdana"/>
          <w:bCs/>
          <w:szCs w:val="20"/>
        </w:rPr>
        <w:t>and</w:t>
      </w:r>
    </w:p>
    <w:p w:rsidR="00034043" w:rsidRPr="00034043" w:rsidRDefault="00034043" w:rsidP="00034043">
      <w:pPr>
        <w:widowControl/>
        <w:rPr>
          <w:rFonts w:ascii="Verdana" w:hAnsi="Verdana"/>
          <w:bCs/>
          <w:szCs w:val="20"/>
        </w:rPr>
      </w:pPr>
    </w:p>
    <w:p w:rsidR="00034043" w:rsidRPr="00034043" w:rsidRDefault="00034043" w:rsidP="00034043">
      <w:pPr>
        <w:pStyle w:val="ListParagraph"/>
        <w:widowControl/>
        <w:numPr>
          <w:ilvl w:val="1"/>
          <w:numId w:val="19"/>
        </w:numPr>
        <w:rPr>
          <w:rFonts w:ascii="Verdana" w:hAnsi="Verdana"/>
          <w:bCs/>
          <w:szCs w:val="20"/>
        </w:rPr>
      </w:pPr>
      <w:r>
        <w:rPr>
          <w:rFonts w:ascii="Verdana" w:hAnsi="Verdana"/>
          <w:bCs/>
          <w:szCs w:val="20"/>
        </w:rPr>
        <w:t>Signatures as defined by the timeliness of the transfer.</w:t>
      </w:r>
    </w:p>
    <w:p w:rsidR="00034043" w:rsidRPr="00034043" w:rsidRDefault="00034043" w:rsidP="00034043">
      <w:pPr>
        <w:widowControl/>
        <w:rPr>
          <w:rFonts w:ascii="Verdana" w:hAnsi="Verdana"/>
          <w:bCs/>
          <w:szCs w:val="20"/>
        </w:rPr>
      </w:pPr>
    </w:p>
    <w:p w:rsidR="00034043" w:rsidRPr="00034043" w:rsidRDefault="00034043" w:rsidP="00034043">
      <w:pPr>
        <w:widowControl/>
        <w:rPr>
          <w:rFonts w:ascii="Verdana" w:hAnsi="Verdana"/>
          <w:bCs/>
          <w:szCs w:val="20"/>
        </w:rPr>
      </w:pPr>
    </w:p>
    <w:p w:rsidR="006C1B44" w:rsidRPr="008F5465" w:rsidRDefault="006C1B44" w:rsidP="008F5465">
      <w:pPr>
        <w:pStyle w:val="ListParagraph"/>
        <w:widowControl/>
        <w:numPr>
          <w:ilvl w:val="0"/>
          <w:numId w:val="19"/>
        </w:numPr>
        <w:rPr>
          <w:rFonts w:ascii="Verdana" w:hAnsi="Verdana"/>
          <w:bCs/>
          <w:szCs w:val="20"/>
        </w:rPr>
      </w:pPr>
      <w:r w:rsidRPr="008F5465">
        <w:rPr>
          <w:rFonts w:ascii="Verdana" w:hAnsi="Verdana"/>
          <w:bCs/>
          <w:szCs w:val="20"/>
        </w:rPr>
        <w:t>Personnel cost transfers documentation</w:t>
      </w:r>
      <w:r w:rsidR="0094326E">
        <w:rPr>
          <w:rFonts w:ascii="Verdana" w:hAnsi="Verdana"/>
          <w:bCs/>
          <w:szCs w:val="20"/>
        </w:rPr>
        <w:t xml:space="preserve"> </w:t>
      </w:r>
      <w:r w:rsidR="0094326E" w:rsidRPr="00034043">
        <w:rPr>
          <w:rFonts w:ascii="Verdana" w:hAnsi="Verdana"/>
          <w:b/>
          <w:bCs/>
          <w:szCs w:val="20"/>
        </w:rPr>
        <w:t>not</w:t>
      </w:r>
      <w:r w:rsidR="0094326E">
        <w:rPr>
          <w:rFonts w:ascii="Verdana" w:hAnsi="Verdana"/>
          <w:bCs/>
          <w:szCs w:val="20"/>
        </w:rPr>
        <w:t xml:space="preserve"> sent via </w:t>
      </w:r>
      <w:r w:rsidR="00034043">
        <w:rPr>
          <w:rFonts w:ascii="Verdana" w:hAnsi="Verdana"/>
          <w:bCs/>
          <w:szCs w:val="20"/>
        </w:rPr>
        <w:t>JV</w:t>
      </w:r>
      <w:r w:rsidR="0094326E">
        <w:rPr>
          <w:rFonts w:ascii="Verdana" w:hAnsi="Verdana"/>
          <w:bCs/>
          <w:szCs w:val="20"/>
        </w:rPr>
        <w:t xml:space="preserve"> </w:t>
      </w:r>
      <w:r w:rsidRPr="008F5465">
        <w:rPr>
          <w:rFonts w:ascii="Verdana" w:hAnsi="Verdana"/>
          <w:bCs/>
          <w:szCs w:val="20"/>
        </w:rPr>
        <w:t>should include:</w:t>
      </w:r>
    </w:p>
    <w:p w:rsidR="000B4B82" w:rsidRPr="000B4B82" w:rsidRDefault="000B4B82" w:rsidP="000B4B82">
      <w:pPr>
        <w:widowControl/>
        <w:rPr>
          <w:rFonts w:ascii="Verdana" w:hAnsi="Verdana"/>
          <w:bCs/>
          <w:szCs w:val="20"/>
        </w:rPr>
      </w:pPr>
    </w:p>
    <w:p w:rsidR="00034043" w:rsidRPr="000B4B82" w:rsidRDefault="00034043" w:rsidP="00034043">
      <w:pPr>
        <w:pStyle w:val="ListParagraph"/>
        <w:widowControl/>
        <w:numPr>
          <w:ilvl w:val="0"/>
          <w:numId w:val="14"/>
        </w:numPr>
        <w:rPr>
          <w:rFonts w:ascii="Verdana" w:hAnsi="Verdana"/>
          <w:bCs/>
          <w:szCs w:val="20"/>
        </w:rPr>
      </w:pPr>
      <w:r w:rsidRPr="000B4B82">
        <w:rPr>
          <w:rFonts w:ascii="Verdana" w:hAnsi="Verdana"/>
          <w:bCs/>
          <w:szCs w:val="20"/>
        </w:rPr>
        <w:t xml:space="preserve">A </w:t>
      </w:r>
      <w:r>
        <w:rPr>
          <w:rFonts w:ascii="Verdana" w:hAnsi="Verdana"/>
          <w:bCs/>
          <w:szCs w:val="20"/>
        </w:rPr>
        <w:t>complete</w:t>
      </w:r>
      <w:r w:rsidRPr="000B4B82">
        <w:rPr>
          <w:rFonts w:ascii="Verdana" w:hAnsi="Verdana"/>
          <w:bCs/>
          <w:szCs w:val="20"/>
        </w:rPr>
        <w:t xml:space="preserve"> explanation of why the transfer is necessary</w:t>
      </w:r>
      <w:r>
        <w:rPr>
          <w:rFonts w:ascii="Verdana" w:hAnsi="Verdana"/>
          <w:bCs/>
          <w:szCs w:val="20"/>
        </w:rPr>
        <w:t>;</w:t>
      </w:r>
      <w:r w:rsidRPr="000B4B82">
        <w:rPr>
          <w:rFonts w:ascii="Verdana" w:hAnsi="Verdana"/>
          <w:bCs/>
          <w:szCs w:val="20"/>
        </w:rPr>
        <w:t xml:space="preserve"> </w:t>
      </w:r>
    </w:p>
    <w:p w:rsidR="00034043" w:rsidRDefault="00034043" w:rsidP="00034043">
      <w:pPr>
        <w:pStyle w:val="ListParagraph"/>
        <w:widowControl/>
        <w:ind w:left="1800"/>
        <w:rPr>
          <w:rFonts w:ascii="Verdana" w:hAnsi="Verdana"/>
          <w:bCs/>
          <w:szCs w:val="20"/>
        </w:rPr>
      </w:pPr>
    </w:p>
    <w:p w:rsidR="00034043" w:rsidRPr="00034043" w:rsidRDefault="00034043" w:rsidP="00034043">
      <w:pPr>
        <w:pStyle w:val="ListParagraph"/>
        <w:widowControl/>
        <w:numPr>
          <w:ilvl w:val="0"/>
          <w:numId w:val="14"/>
        </w:numPr>
        <w:rPr>
          <w:rFonts w:ascii="Verdana" w:hAnsi="Verdana"/>
          <w:bCs/>
          <w:szCs w:val="20"/>
        </w:rPr>
      </w:pPr>
      <w:r w:rsidRPr="00034043">
        <w:rPr>
          <w:rFonts w:ascii="Verdana" w:hAnsi="Verdana"/>
          <w:bCs/>
          <w:szCs w:val="20"/>
        </w:rPr>
        <w:t>Sending a revised certification for the individual to SPA if the effort was previously certified</w:t>
      </w:r>
      <w:r>
        <w:rPr>
          <w:rFonts w:ascii="Verdana" w:hAnsi="Verdana"/>
          <w:bCs/>
          <w:szCs w:val="20"/>
        </w:rPr>
        <w:t xml:space="preserve"> including signatures certifying that the new allocations accurately reflect the effort that the individual expended during the period and rescinding any previous certification of effort</w:t>
      </w:r>
      <w:r w:rsidRPr="00034043">
        <w:rPr>
          <w:rFonts w:ascii="Verdana" w:hAnsi="Verdana"/>
          <w:bCs/>
          <w:szCs w:val="20"/>
        </w:rPr>
        <w:t xml:space="preserve">; or </w:t>
      </w:r>
      <w:r>
        <w:rPr>
          <w:rFonts w:ascii="Verdana" w:hAnsi="Verdana"/>
          <w:bCs/>
          <w:szCs w:val="20"/>
        </w:rPr>
        <w:t>e</w:t>
      </w:r>
      <w:r w:rsidRPr="00034043">
        <w:rPr>
          <w:rFonts w:ascii="Verdana" w:hAnsi="Verdana"/>
          <w:bCs/>
          <w:szCs w:val="20"/>
        </w:rPr>
        <w:t>vidence of coordination with the certifying official to assure proper certification of effort on future certifications;</w:t>
      </w:r>
    </w:p>
    <w:p w:rsidR="000B4B82" w:rsidRPr="000B4B82" w:rsidRDefault="000B4B82" w:rsidP="000B4B82">
      <w:pPr>
        <w:pStyle w:val="ListParagraph"/>
        <w:rPr>
          <w:rFonts w:ascii="Verdana" w:hAnsi="Verdana"/>
          <w:bCs/>
          <w:szCs w:val="20"/>
        </w:rPr>
      </w:pPr>
    </w:p>
    <w:p w:rsidR="000B4B82" w:rsidRDefault="000B4B82" w:rsidP="000B4B82">
      <w:pPr>
        <w:pStyle w:val="ListParagraph"/>
        <w:widowControl/>
        <w:numPr>
          <w:ilvl w:val="0"/>
          <w:numId w:val="14"/>
        </w:numPr>
        <w:rPr>
          <w:rFonts w:ascii="Verdana" w:hAnsi="Verdana"/>
          <w:bCs/>
          <w:szCs w:val="20"/>
        </w:rPr>
      </w:pPr>
      <w:r>
        <w:rPr>
          <w:rFonts w:ascii="Verdana" w:hAnsi="Verdana"/>
          <w:bCs/>
          <w:szCs w:val="20"/>
        </w:rPr>
        <w:t>L</w:t>
      </w:r>
      <w:r w:rsidR="006C1B44" w:rsidRPr="006C1B44">
        <w:rPr>
          <w:rFonts w:ascii="Verdana" w:hAnsi="Verdana"/>
          <w:bCs/>
          <w:szCs w:val="20"/>
        </w:rPr>
        <w:t>abor distributions or STEPS invoices showing the distribution of effort to each cost object that was originally charged</w:t>
      </w:r>
      <w:r w:rsidR="00034043">
        <w:rPr>
          <w:rFonts w:ascii="Verdana" w:hAnsi="Verdana"/>
          <w:bCs/>
          <w:szCs w:val="20"/>
        </w:rPr>
        <w:t>.</w:t>
      </w:r>
    </w:p>
    <w:p w:rsidR="00034043" w:rsidRPr="00034043" w:rsidRDefault="00034043" w:rsidP="00034043">
      <w:pPr>
        <w:pStyle w:val="ListParagraph"/>
        <w:rPr>
          <w:rFonts w:ascii="Verdana" w:hAnsi="Verdana"/>
          <w:bCs/>
          <w:szCs w:val="20"/>
        </w:rPr>
      </w:pPr>
    </w:p>
    <w:p w:rsidR="00034043" w:rsidRDefault="00034043" w:rsidP="000B4B82">
      <w:pPr>
        <w:pStyle w:val="ListParagraph"/>
        <w:widowControl/>
        <w:numPr>
          <w:ilvl w:val="0"/>
          <w:numId w:val="14"/>
        </w:numPr>
        <w:rPr>
          <w:rFonts w:ascii="Verdana" w:hAnsi="Verdana"/>
          <w:bCs/>
          <w:szCs w:val="20"/>
        </w:rPr>
      </w:pPr>
      <w:r>
        <w:rPr>
          <w:rFonts w:ascii="Verdana" w:hAnsi="Verdana"/>
          <w:bCs/>
          <w:szCs w:val="20"/>
        </w:rPr>
        <w:t>Signatures as defined by the timeliness of the transfer</w:t>
      </w:r>
    </w:p>
    <w:p w:rsidR="0085702A" w:rsidRPr="0085702A" w:rsidRDefault="0085702A" w:rsidP="0085702A">
      <w:pPr>
        <w:pStyle w:val="ListParagraph"/>
        <w:rPr>
          <w:rFonts w:ascii="Verdana" w:hAnsi="Verdana"/>
          <w:bCs/>
          <w:szCs w:val="20"/>
        </w:rPr>
      </w:pPr>
    </w:p>
    <w:p w:rsidR="0085702A" w:rsidRPr="008F5465" w:rsidRDefault="0085702A" w:rsidP="008F5465">
      <w:pPr>
        <w:pStyle w:val="ListParagraph"/>
        <w:widowControl/>
        <w:numPr>
          <w:ilvl w:val="0"/>
          <w:numId w:val="19"/>
        </w:numPr>
        <w:rPr>
          <w:rFonts w:ascii="Verdana" w:hAnsi="Verdana"/>
          <w:bCs/>
          <w:szCs w:val="20"/>
        </w:rPr>
      </w:pPr>
      <w:r w:rsidRPr="008F5465">
        <w:rPr>
          <w:rFonts w:ascii="Verdana" w:hAnsi="Verdana"/>
          <w:bCs/>
          <w:szCs w:val="20"/>
        </w:rPr>
        <w:t>Timeliness</w:t>
      </w:r>
    </w:p>
    <w:p w:rsidR="008F5465" w:rsidRDefault="008F5465" w:rsidP="0085702A">
      <w:pPr>
        <w:widowControl/>
        <w:ind w:left="1098"/>
        <w:rPr>
          <w:rFonts w:ascii="Verdana" w:hAnsi="Verdana"/>
          <w:bCs/>
          <w:szCs w:val="20"/>
        </w:rPr>
      </w:pPr>
    </w:p>
    <w:p w:rsidR="008F5465" w:rsidRDefault="008F5465" w:rsidP="0085702A">
      <w:pPr>
        <w:widowControl/>
        <w:ind w:left="1098"/>
        <w:rPr>
          <w:rFonts w:ascii="Verdana" w:hAnsi="Verdana"/>
          <w:bCs/>
          <w:szCs w:val="20"/>
        </w:rPr>
      </w:pPr>
      <w:r w:rsidRPr="005A2CF8">
        <w:rPr>
          <w:rFonts w:ascii="Verdana" w:hAnsi="Verdana"/>
          <w:color w:val="000000"/>
          <w:szCs w:val="20"/>
        </w:rPr>
        <w:t>A JV with charges more than 120 days old must have appropriate signatures and an explanation of extenuating circumstances</w:t>
      </w:r>
      <w:r>
        <w:rPr>
          <w:rFonts w:ascii="Verdana" w:hAnsi="Verdana"/>
          <w:color w:val="000000"/>
          <w:szCs w:val="20"/>
        </w:rPr>
        <w:t xml:space="preserve"> </w:t>
      </w:r>
      <w:r w:rsidRPr="005A2CF8">
        <w:rPr>
          <w:rFonts w:ascii="Verdana" w:hAnsi="Verdana"/>
          <w:color w:val="000000"/>
          <w:szCs w:val="20"/>
        </w:rPr>
        <w:t>which prevented the transaction from being made earlier</w:t>
      </w:r>
      <w:r>
        <w:rPr>
          <w:rFonts w:ascii="Verdana" w:hAnsi="Verdana"/>
          <w:color w:val="000000"/>
          <w:szCs w:val="20"/>
        </w:rPr>
        <w:t xml:space="preserve"> attached as a memo to the SPA Director</w:t>
      </w:r>
      <w:r w:rsidRPr="005A2CF8">
        <w:rPr>
          <w:rFonts w:ascii="Verdana" w:hAnsi="Verdana"/>
          <w:color w:val="000000"/>
          <w:szCs w:val="20"/>
        </w:rPr>
        <w:t xml:space="preserve">. Charges under this circumstance that are not approved will be moved to the appropriate Dean’s overrun </w:t>
      </w:r>
      <w:r>
        <w:rPr>
          <w:rFonts w:ascii="Verdana" w:hAnsi="Verdana"/>
          <w:color w:val="000000"/>
          <w:szCs w:val="20"/>
        </w:rPr>
        <w:t>cost center</w:t>
      </w:r>
      <w:r w:rsidRPr="005A2CF8">
        <w:rPr>
          <w:rFonts w:ascii="Verdana" w:hAnsi="Verdana"/>
          <w:color w:val="000000"/>
          <w:szCs w:val="20"/>
        </w:rPr>
        <w:t xml:space="preserve"> or </w:t>
      </w:r>
      <w:r>
        <w:rPr>
          <w:rFonts w:ascii="Verdana" w:hAnsi="Verdana"/>
          <w:color w:val="000000"/>
          <w:szCs w:val="20"/>
        </w:rPr>
        <w:t xml:space="preserve">to the </w:t>
      </w:r>
      <w:r w:rsidRPr="005A2CF8">
        <w:rPr>
          <w:rFonts w:ascii="Verdana" w:hAnsi="Verdana"/>
          <w:color w:val="000000"/>
          <w:szCs w:val="20"/>
        </w:rPr>
        <w:t xml:space="preserve">cost sharing </w:t>
      </w:r>
      <w:r>
        <w:rPr>
          <w:rFonts w:ascii="Verdana" w:hAnsi="Verdana"/>
          <w:color w:val="000000"/>
          <w:szCs w:val="20"/>
        </w:rPr>
        <w:t>fund</w:t>
      </w:r>
      <w:r w:rsidRPr="005A2CF8">
        <w:rPr>
          <w:rFonts w:ascii="Verdana" w:hAnsi="Verdana"/>
          <w:color w:val="000000"/>
          <w:szCs w:val="20"/>
        </w:rPr>
        <w:t>.</w:t>
      </w:r>
      <w:r>
        <w:rPr>
          <w:rFonts w:ascii="Verdana" w:hAnsi="Verdana"/>
          <w:color w:val="000000"/>
          <w:szCs w:val="20"/>
        </w:rPr>
        <w:t xml:space="preserve">  These items are approved at the discretion of the SPA Director who will make these determinations based upon institutional considerations.</w:t>
      </w:r>
    </w:p>
    <w:p w:rsidR="0085702A" w:rsidRDefault="0085702A" w:rsidP="0085702A">
      <w:pPr>
        <w:widowControl/>
        <w:rPr>
          <w:rFonts w:ascii="Verdana" w:hAnsi="Verdana"/>
          <w:bCs/>
          <w:szCs w:val="20"/>
        </w:rPr>
      </w:pPr>
    </w:p>
    <w:p w:rsidR="0085702A" w:rsidRDefault="0085702A" w:rsidP="0085702A">
      <w:pPr>
        <w:pStyle w:val="ListParagraph"/>
        <w:widowControl/>
        <w:numPr>
          <w:ilvl w:val="0"/>
          <w:numId w:val="16"/>
        </w:numPr>
        <w:rPr>
          <w:rFonts w:ascii="Verdana" w:hAnsi="Verdana"/>
          <w:bCs/>
          <w:szCs w:val="20"/>
        </w:rPr>
      </w:pPr>
      <w:r>
        <w:rPr>
          <w:rFonts w:ascii="Verdana" w:hAnsi="Verdana"/>
          <w:bCs/>
          <w:szCs w:val="20"/>
        </w:rPr>
        <w:t>Cost transfers</w:t>
      </w:r>
      <w:r w:rsidR="007336B0">
        <w:rPr>
          <w:rFonts w:ascii="Verdana" w:hAnsi="Verdana"/>
          <w:bCs/>
          <w:szCs w:val="20"/>
        </w:rPr>
        <w:t xml:space="preserve"> with original transaction dates</w:t>
      </w:r>
      <w:r>
        <w:rPr>
          <w:rFonts w:ascii="Verdana" w:hAnsi="Verdana"/>
          <w:bCs/>
          <w:szCs w:val="20"/>
        </w:rPr>
        <w:t xml:space="preserve"> less than 90 days old may be signed by the departmental administrator</w:t>
      </w:r>
      <w:r w:rsidR="00FB1BEE">
        <w:rPr>
          <w:rFonts w:ascii="Verdana" w:hAnsi="Verdana"/>
          <w:bCs/>
          <w:szCs w:val="20"/>
        </w:rPr>
        <w:t>, approving official or</w:t>
      </w:r>
      <w:r>
        <w:rPr>
          <w:rFonts w:ascii="Verdana" w:hAnsi="Verdana"/>
          <w:bCs/>
          <w:szCs w:val="20"/>
        </w:rPr>
        <w:t xml:space="preserve"> </w:t>
      </w:r>
      <w:r w:rsidR="007336B0">
        <w:rPr>
          <w:rFonts w:ascii="Verdana" w:hAnsi="Verdana"/>
          <w:bCs/>
          <w:szCs w:val="20"/>
        </w:rPr>
        <w:t>PI.</w:t>
      </w:r>
    </w:p>
    <w:p w:rsidR="007336B0" w:rsidRDefault="007336B0" w:rsidP="007336B0">
      <w:pPr>
        <w:pStyle w:val="ListParagraph"/>
        <w:widowControl/>
        <w:ind w:left="1458"/>
        <w:rPr>
          <w:rFonts w:ascii="Verdana" w:hAnsi="Verdana"/>
          <w:bCs/>
          <w:szCs w:val="20"/>
        </w:rPr>
      </w:pPr>
    </w:p>
    <w:p w:rsidR="0085702A" w:rsidRDefault="007336B0" w:rsidP="0085702A">
      <w:pPr>
        <w:pStyle w:val="ListParagraph"/>
        <w:widowControl/>
        <w:numPr>
          <w:ilvl w:val="0"/>
          <w:numId w:val="16"/>
        </w:numPr>
        <w:rPr>
          <w:rFonts w:ascii="Verdana" w:hAnsi="Verdana"/>
          <w:bCs/>
          <w:szCs w:val="20"/>
        </w:rPr>
      </w:pPr>
      <w:r>
        <w:rPr>
          <w:rFonts w:ascii="Verdana" w:hAnsi="Verdana"/>
          <w:bCs/>
          <w:szCs w:val="20"/>
        </w:rPr>
        <w:t>Cost transfers for sponsored projects (not funded through DHHS or flowed through another organization with DHHS funds) with an original transaction date greater than 90 days but less than 120 days shall be signed by the PI and Chair/Director</w:t>
      </w:r>
      <w:r w:rsidR="00FB1BEE">
        <w:rPr>
          <w:rFonts w:ascii="Verdana" w:hAnsi="Verdana"/>
          <w:bCs/>
          <w:szCs w:val="20"/>
        </w:rPr>
        <w:t xml:space="preserve"> of the department assigned as the responsible unit for the sponsored project</w:t>
      </w:r>
      <w:r>
        <w:rPr>
          <w:rFonts w:ascii="Verdana" w:hAnsi="Verdana"/>
          <w:bCs/>
          <w:szCs w:val="20"/>
        </w:rPr>
        <w:t>.</w:t>
      </w:r>
    </w:p>
    <w:p w:rsidR="007336B0" w:rsidRPr="007336B0" w:rsidRDefault="007336B0" w:rsidP="007336B0">
      <w:pPr>
        <w:widowControl/>
        <w:rPr>
          <w:rFonts w:ascii="Verdana" w:hAnsi="Verdana"/>
          <w:bCs/>
          <w:szCs w:val="20"/>
        </w:rPr>
      </w:pPr>
    </w:p>
    <w:p w:rsidR="007336B0" w:rsidRPr="0085702A" w:rsidRDefault="007336B0" w:rsidP="0085702A">
      <w:pPr>
        <w:pStyle w:val="ListParagraph"/>
        <w:widowControl/>
        <w:numPr>
          <w:ilvl w:val="0"/>
          <w:numId w:val="16"/>
        </w:numPr>
        <w:rPr>
          <w:rFonts w:ascii="Verdana" w:hAnsi="Verdana"/>
          <w:bCs/>
          <w:szCs w:val="20"/>
        </w:rPr>
      </w:pPr>
      <w:r>
        <w:rPr>
          <w:rFonts w:ascii="Verdana" w:hAnsi="Verdana"/>
          <w:bCs/>
          <w:szCs w:val="20"/>
        </w:rPr>
        <w:t>Cost transfers for sponsored projects (not funded through DHHS or flowed through another organization with DHHS funds) with an original transaction date greater than 120 days old shall be signed by the PI, Chair/Director and Dean/Vice President.</w:t>
      </w:r>
    </w:p>
    <w:p w:rsidR="000B4B82" w:rsidRPr="000B4B82" w:rsidRDefault="000B4B82" w:rsidP="000B4B82">
      <w:pPr>
        <w:pStyle w:val="ListParagraph"/>
        <w:rPr>
          <w:rFonts w:ascii="Verdana" w:hAnsi="Verdana"/>
          <w:bCs/>
          <w:szCs w:val="20"/>
        </w:rPr>
      </w:pPr>
    </w:p>
    <w:p w:rsidR="006C1B44" w:rsidRDefault="006C112E" w:rsidP="006C112E">
      <w:pPr>
        <w:pStyle w:val="ListParagraph"/>
        <w:widowControl/>
        <w:numPr>
          <w:ilvl w:val="0"/>
          <w:numId w:val="19"/>
        </w:numPr>
        <w:rPr>
          <w:rFonts w:ascii="Verdana" w:hAnsi="Verdana"/>
          <w:bCs/>
          <w:szCs w:val="20"/>
        </w:rPr>
      </w:pPr>
      <w:r>
        <w:rPr>
          <w:rFonts w:ascii="Verdana" w:hAnsi="Verdana"/>
          <w:bCs/>
          <w:szCs w:val="20"/>
        </w:rPr>
        <w:t>Budgeting issues</w:t>
      </w:r>
    </w:p>
    <w:p w:rsidR="00034043" w:rsidRDefault="00034043" w:rsidP="00034043">
      <w:pPr>
        <w:pStyle w:val="ListParagraph"/>
        <w:widowControl/>
        <w:ind w:left="1458"/>
        <w:rPr>
          <w:rFonts w:ascii="Verdana" w:hAnsi="Verdana"/>
          <w:bCs/>
          <w:szCs w:val="20"/>
        </w:rPr>
      </w:pPr>
    </w:p>
    <w:p w:rsidR="006C112E" w:rsidRPr="003B4E42" w:rsidRDefault="006C112E" w:rsidP="006C112E">
      <w:pPr>
        <w:pStyle w:val="ListParagraph"/>
        <w:widowControl/>
        <w:ind w:left="1458"/>
        <w:rPr>
          <w:rFonts w:ascii="Verdana" w:hAnsi="Verdana"/>
          <w:bCs/>
          <w:szCs w:val="20"/>
        </w:rPr>
      </w:pPr>
      <w:r w:rsidRPr="003B4E42">
        <w:rPr>
          <w:rFonts w:ascii="Verdana" w:hAnsi="Verdana"/>
          <w:color w:val="000000"/>
          <w:szCs w:val="20"/>
        </w:rPr>
        <w:t>If the F&amp;A item is allowable on the sponsored project</w:t>
      </w:r>
      <w:r>
        <w:rPr>
          <w:rFonts w:ascii="Verdana" w:hAnsi="Verdana"/>
          <w:color w:val="000000"/>
          <w:szCs w:val="20"/>
        </w:rPr>
        <w:t xml:space="preserve"> and budget is not available</w:t>
      </w:r>
      <w:r w:rsidRPr="003B4E42">
        <w:rPr>
          <w:rFonts w:ascii="Verdana" w:hAnsi="Verdana"/>
          <w:color w:val="000000"/>
          <w:szCs w:val="20"/>
        </w:rPr>
        <w:t>, the department must contact the appropriate Research Administrator in the Office of Sponsored Projects Administration (OSPA) to budget the F&amp;A g/l account on the cost object</w:t>
      </w:r>
      <w:r>
        <w:rPr>
          <w:rFonts w:ascii="Verdana" w:hAnsi="Verdana"/>
          <w:color w:val="000000"/>
          <w:szCs w:val="20"/>
        </w:rPr>
        <w:t xml:space="preserve"> prior to sending the JV to SPA.</w:t>
      </w:r>
    </w:p>
    <w:p w:rsidR="006C112E" w:rsidRPr="006C112E" w:rsidRDefault="006C112E" w:rsidP="006C112E">
      <w:pPr>
        <w:widowControl/>
        <w:ind w:left="1098"/>
        <w:rPr>
          <w:rFonts w:ascii="Verdana" w:hAnsi="Verdana"/>
          <w:bCs/>
          <w:szCs w:val="20"/>
        </w:rPr>
      </w:pPr>
    </w:p>
    <w:p w:rsidR="00B002CD" w:rsidRDefault="00B002CD" w:rsidP="008A3767">
      <w:pPr>
        <w:widowControl/>
        <w:ind w:left="720"/>
        <w:rPr>
          <w:rFonts w:ascii="Verdana" w:hAnsi="Verdana"/>
          <w:bCs/>
          <w:szCs w:val="20"/>
        </w:rPr>
      </w:pPr>
    </w:p>
    <w:sectPr w:rsidR="00B002CD" w:rsidSect="005B0FA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440" w:bottom="720" w:left="1440" w:header="720" w:footer="720" w:gutter="0"/>
      <w:pgBorders w:offsetFrom="page">
        <w:top w:val="thinThickSmallGap" w:sz="24" w:space="24" w:color="003466"/>
        <w:left w:val="thinThickSmallGap" w:sz="24" w:space="24" w:color="003466"/>
        <w:bottom w:val="thickThinSmallGap" w:sz="24" w:space="24" w:color="003466"/>
        <w:right w:val="thickThinSmallGap" w:sz="24" w:space="24" w:color="003466"/>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A6" w:rsidRDefault="005708A6">
      <w:r>
        <w:separator/>
      </w:r>
    </w:p>
  </w:endnote>
  <w:endnote w:type="continuationSeparator" w:id="0">
    <w:p w:rsidR="005708A6" w:rsidRDefault="00570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Default="00570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Default="005708A6" w:rsidP="005B0FA4">
    <w:pPr>
      <w:tabs>
        <w:tab w:val="left" w:pos="360"/>
        <w:tab w:val="left" w:pos="720"/>
        <w:tab w:val="left" w:pos="1080"/>
        <w:tab w:val="left" w:pos="1440"/>
        <w:tab w:val="left" w:pos="1800"/>
      </w:tabs>
    </w:pPr>
  </w:p>
  <w:p w:rsidR="005708A6" w:rsidRPr="005B1D72" w:rsidRDefault="005708A6" w:rsidP="005B0FA4">
    <w:pPr>
      <w:tabs>
        <w:tab w:val="left" w:pos="360"/>
        <w:tab w:val="left" w:pos="720"/>
        <w:tab w:val="left" w:pos="1080"/>
        <w:tab w:val="left" w:pos="1440"/>
        <w:tab w:val="left" w:pos="1800"/>
      </w:tabs>
    </w:pPr>
    <w:r>
      <w:pict>
        <v:line id="_x0000_s2050" style="position:absolute;z-index:251658240" from="4.8pt,6.25pt" to="184.8pt,6.25pt" strokecolor="#036" strokeweight="1.5pt"/>
      </w:pict>
    </w:r>
  </w:p>
  <w:p w:rsidR="005708A6" w:rsidRPr="005B0FA4" w:rsidRDefault="005708A6" w:rsidP="005C397A">
    <w:pPr>
      <w:tabs>
        <w:tab w:val="right" w:pos="7290"/>
        <w:tab w:val="right" w:pos="9270"/>
      </w:tabs>
      <w:rPr>
        <w:rFonts w:ascii="Times New Roman" w:hAnsi="Times New Roman"/>
        <w:b/>
        <w:i/>
        <w:iCs/>
        <w:color w:val="3399CC"/>
      </w:rPr>
    </w:pPr>
    <w:r w:rsidRPr="005B0FA4">
      <w:rPr>
        <w:rFonts w:ascii="Times New Roman" w:hAnsi="Times New Roman"/>
        <w:b/>
        <w:i/>
        <w:iCs/>
        <w:color w:val="3399CC"/>
      </w:rPr>
      <w:t xml:space="preserve"> Revision Date:  </w:t>
    </w:r>
    <w:r>
      <w:rPr>
        <w:rFonts w:ascii="Times New Roman" w:hAnsi="Times New Roman"/>
        <w:b/>
        <w:i/>
        <w:iCs/>
        <w:color w:val="3399CC"/>
      </w:rPr>
      <w:t>Date Published</w:t>
    </w:r>
    <w:r>
      <w:rPr>
        <w:rFonts w:ascii="Times New Roman" w:hAnsi="Times New Roman"/>
        <w:b/>
        <w:i/>
        <w:color w:val="3399CC"/>
      </w:rPr>
      <w:tab/>
      <w:t xml:space="preserve"> </w:t>
    </w:r>
    <w:r w:rsidRPr="005B0FA4">
      <w:rPr>
        <w:rFonts w:ascii="Times New Roman" w:hAnsi="Times New Roman"/>
        <w:b/>
        <w:i/>
        <w:color w:val="3399CC"/>
      </w:rPr>
      <w:t xml:space="preserve">Next Review Date: </w:t>
    </w:r>
    <w:r>
      <w:rPr>
        <w:rFonts w:ascii="Times New Roman" w:hAnsi="Times New Roman"/>
        <w:b/>
        <w:i/>
        <w:iCs/>
        <w:color w:val="3399CC"/>
      </w:rPr>
      <w:t xml:space="preserve"> 4 yrs from date published</w:t>
    </w:r>
    <w:r>
      <w:rPr>
        <w:rFonts w:ascii="Times New Roman" w:hAnsi="Times New Roman"/>
        <w:b/>
        <w:i/>
        <w:iCs/>
        <w:color w:val="3399CC"/>
      </w:rPr>
      <w:tab/>
    </w:r>
    <w:sdt>
      <w:sdtPr>
        <w:rPr>
          <w:rFonts w:ascii="Verdana" w:hAnsi="Verdana"/>
          <w:b/>
          <w:i/>
          <w:iCs/>
          <w:sz w:val="16"/>
          <w:szCs w:val="16"/>
        </w:rPr>
        <w:id w:val="250395305"/>
        <w:docPartObj>
          <w:docPartGallery w:val="Page Numbers (Top of Page)"/>
          <w:docPartUnique/>
        </w:docPartObj>
      </w:sdtPr>
      <w:sdtContent>
        <w:r>
          <w:rPr>
            <w:rFonts w:ascii="Verdana" w:hAnsi="Verdana"/>
            <w:b/>
            <w:i/>
            <w:iCs/>
            <w:color w:val="3399CC"/>
            <w:sz w:val="16"/>
            <w:szCs w:val="16"/>
          </w:rPr>
          <w:t xml:space="preserve">Page </w:t>
        </w:r>
        <w:r>
          <w:rPr>
            <w:rFonts w:ascii="Verdana" w:hAnsi="Verdana"/>
            <w:b/>
            <w:i/>
            <w:iCs/>
            <w:color w:val="3399CC"/>
            <w:sz w:val="16"/>
            <w:szCs w:val="16"/>
          </w:rPr>
          <w:fldChar w:fldCharType="begin"/>
        </w:r>
        <w:r>
          <w:rPr>
            <w:rFonts w:ascii="Verdana" w:hAnsi="Verdana"/>
            <w:b/>
            <w:i/>
            <w:iCs/>
            <w:color w:val="3399CC"/>
            <w:sz w:val="16"/>
            <w:szCs w:val="16"/>
          </w:rPr>
          <w:instrText xml:space="preserve"> PAGE </w:instrText>
        </w:r>
        <w:r>
          <w:rPr>
            <w:rFonts w:ascii="Verdana" w:hAnsi="Verdana"/>
            <w:b/>
            <w:i/>
            <w:iCs/>
            <w:color w:val="3399CC"/>
            <w:sz w:val="16"/>
            <w:szCs w:val="16"/>
          </w:rPr>
          <w:fldChar w:fldCharType="separate"/>
        </w:r>
        <w:r w:rsidR="00821C44">
          <w:rPr>
            <w:rFonts w:ascii="Verdana" w:hAnsi="Verdana"/>
            <w:b/>
            <w:i/>
            <w:iCs/>
            <w:noProof/>
            <w:color w:val="3399CC"/>
            <w:sz w:val="16"/>
            <w:szCs w:val="16"/>
          </w:rPr>
          <w:t>7</w:t>
        </w:r>
        <w:r>
          <w:rPr>
            <w:rFonts w:ascii="Verdana" w:hAnsi="Verdana"/>
            <w:b/>
            <w:i/>
            <w:iCs/>
            <w:color w:val="3399CC"/>
            <w:sz w:val="16"/>
            <w:szCs w:val="16"/>
          </w:rPr>
          <w:fldChar w:fldCharType="end"/>
        </w:r>
        <w:r>
          <w:rPr>
            <w:rFonts w:ascii="Verdana" w:hAnsi="Verdana"/>
            <w:b/>
            <w:i/>
            <w:iCs/>
            <w:color w:val="3399CC"/>
            <w:sz w:val="16"/>
            <w:szCs w:val="16"/>
          </w:rPr>
          <w:t xml:space="preserve"> of </w:t>
        </w:r>
        <w:r>
          <w:rPr>
            <w:rFonts w:ascii="Verdana" w:hAnsi="Verdana"/>
            <w:b/>
            <w:i/>
            <w:iCs/>
            <w:color w:val="3399CC"/>
            <w:sz w:val="16"/>
            <w:szCs w:val="16"/>
          </w:rPr>
          <w:fldChar w:fldCharType="begin"/>
        </w:r>
        <w:r>
          <w:rPr>
            <w:rFonts w:ascii="Verdana" w:hAnsi="Verdana"/>
            <w:b/>
            <w:i/>
            <w:iCs/>
            <w:color w:val="3399CC"/>
            <w:sz w:val="16"/>
            <w:szCs w:val="16"/>
          </w:rPr>
          <w:instrText xml:space="preserve"> NUMPAGES  </w:instrText>
        </w:r>
        <w:r>
          <w:rPr>
            <w:rFonts w:ascii="Verdana" w:hAnsi="Verdana"/>
            <w:b/>
            <w:i/>
            <w:iCs/>
            <w:color w:val="3399CC"/>
            <w:sz w:val="16"/>
            <w:szCs w:val="16"/>
          </w:rPr>
          <w:fldChar w:fldCharType="separate"/>
        </w:r>
        <w:r w:rsidR="00821C44">
          <w:rPr>
            <w:rFonts w:ascii="Verdana" w:hAnsi="Verdana"/>
            <w:b/>
            <w:i/>
            <w:iCs/>
            <w:noProof/>
            <w:color w:val="3399CC"/>
            <w:sz w:val="16"/>
            <w:szCs w:val="16"/>
          </w:rPr>
          <w:t>7</w:t>
        </w:r>
        <w:r>
          <w:rPr>
            <w:rFonts w:ascii="Verdana" w:hAnsi="Verdana"/>
            <w:b/>
            <w:i/>
            <w:iCs/>
            <w:color w:val="3399CC"/>
            <w:sz w:val="16"/>
            <w:szCs w:val="16"/>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Default="00570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A6" w:rsidRDefault="005708A6">
      <w:r>
        <w:separator/>
      </w:r>
    </w:p>
  </w:footnote>
  <w:footnote w:type="continuationSeparator" w:id="0">
    <w:p w:rsidR="005708A6" w:rsidRDefault="00570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Default="00570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Pr="000A1D23" w:rsidRDefault="005708A6" w:rsidP="005B0FA4">
    <w:pPr>
      <w:pStyle w:val="Header"/>
      <w:tabs>
        <w:tab w:val="clear" w:pos="4320"/>
        <w:tab w:val="clear" w:pos="8640"/>
      </w:tabs>
      <w:rPr>
        <w:rFonts w:ascii="Verdana" w:hAnsi="Verdana"/>
        <w:b/>
        <w:i/>
        <w:color w:val="003466"/>
      </w:rPr>
    </w:pPr>
    <w:r w:rsidRPr="000A1D23">
      <w:rPr>
        <w:rFonts w:ascii="Verdana" w:hAnsi="Verdana"/>
        <w:b/>
        <w:i/>
        <w:color w:val="003466"/>
      </w:rPr>
      <w:t>E. OFFICE OF THE TREASURER</w:t>
    </w:r>
    <w:r>
      <w:rPr>
        <w:rFonts w:ascii="Verdana" w:hAnsi="Verdana"/>
        <w:b/>
        <w:i/>
        <w:color w:val="003466"/>
      </w:rPr>
      <w:tab/>
    </w:r>
  </w:p>
  <w:p w:rsidR="005708A6" w:rsidRPr="000A1D23" w:rsidRDefault="005708A6" w:rsidP="00D8179B">
    <w:pPr>
      <w:pStyle w:val="Header"/>
      <w:tabs>
        <w:tab w:val="clear" w:pos="4320"/>
        <w:tab w:val="clear" w:pos="8640"/>
        <w:tab w:val="right" w:pos="9180"/>
      </w:tabs>
      <w:rPr>
        <w:rFonts w:ascii="Verdana" w:hAnsi="Verdana"/>
        <w:b/>
        <w:i/>
        <w:color w:val="003466"/>
      </w:rPr>
    </w:pPr>
    <w:r>
      <w:rPr>
        <w:rFonts w:ascii="Verdana" w:hAnsi="Verdana"/>
        <w:b/>
        <w:i/>
        <w:color w:val="003466"/>
      </w:rPr>
      <w:tab/>
    </w:r>
    <w:r w:rsidRPr="00251885">
      <w:rPr>
        <w:rFonts w:ascii="Verdana" w:hAnsi="Verdana"/>
        <w:color w:val="003466"/>
      </w:rPr>
      <w:pict>
        <v:line id="_x0000_s2049" style="position:absolute;z-index:251657216;mso-position-horizontal-relative:text;mso-position-vertical-relative:text" from=".3pt,5.9pt" to="180.3pt,5.9pt" strokecolor="#036" strokeweight="1.5pt"/>
      </w:pict>
    </w:r>
    <w:r w:rsidRPr="000A1D23">
      <w:rPr>
        <w:rFonts w:ascii="Verdana" w:hAnsi="Verdana"/>
        <w:b/>
        <w:i/>
        <w:color w:val="003466"/>
      </w:rPr>
      <w:t>E-X-X</w:t>
    </w:r>
  </w:p>
  <w:p w:rsidR="005708A6" w:rsidRPr="000A1D23" w:rsidRDefault="005708A6" w:rsidP="005B0FA4">
    <w:pPr>
      <w:pStyle w:val="Header"/>
      <w:rPr>
        <w:rFonts w:ascii="Verdana" w:hAnsi="Verdana"/>
        <w:b/>
        <w:i/>
        <w:color w:val="3399CC"/>
      </w:rPr>
    </w:pPr>
    <w:r>
      <w:rPr>
        <w:rFonts w:ascii="Verdana" w:hAnsi="Verdana"/>
        <w:b/>
        <w:i/>
        <w:color w:val="3399CC"/>
      </w:rPr>
      <w:t>Title</w:t>
    </w:r>
  </w:p>
  <w:p w:rsidR="005708A6" w:rsidRDefault="005708A6" w:rsidP="005B0FA4">
    <w:pPr>
      <w:pStyle w:val="Header"/>
      <w:rPr>
        <w:rFonts w:ascii="Times New Roman" w:hAnsi="Times New Roman"/>
        <w:b/>
        <w:i/>
        <w:color w:val="3399CC"/>
      </w:rPr>
    </w:pPr>
  </w:p>
  <w:p w:rsidR="005708A6" w:rsidRPr="005B0FA4" w:rsidRDefault="005708A6" w:rsidP="005B0FA4">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A6" w:rsidRDefault="00570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461"/>
    <w:multiLevelType w:val="hybridMultilevel"/>
    <w:tmpl w:val="AF96A91E"/>
    <w:lvl w:ilvl="0" w:tplc="99F037E4">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326E31"/>
    <w:multiLevelType w:val="hybridMultilevel"/>
    <w:tmpl w:val="3D4AA518"/>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
    <w:nsid w:val="0EF3269D"/>
    <w:multiLevelType w:val="multilevel"/>
    <w:tmpl w:val="41A6E544"/>
    <w:lvl w:ilvl="0">
      <w:start w:val="1"/>
      <w:numFmt w:val="upperRoman"/>
      <w:lvlText w:val="%1."/>
      <w:lvlJc w:val="left"/>
      <w:pPr>
        <w:ind w:left="594" w:hanging="504"/>
      </w:pPr>
      <w:rPr>
        <w:rFonts w:ascii="Calibri" w:hAnsi="Calibri" w:hint="default"/>
        <w:b/>
        <w:i w:val="0"/>
        <w:color w:val="auto"/>
        <w:sz w:val="22"/>
      </w:rPr>
    </w:lvl>
    <w:lvl w:ilvl="1">
      <w:start w:val="1"/>
      <w:numFmt w:val="bullet"/>
      <w:lvlText w:val=""/>
      <w:lvlJc w:val="left"/>
      <w:pPr>
        <w:ind w:left="1098" w:hanging="504"/>
      </w:pPr>
      <w:rPr>
        <w:rFonts w:ascii="Symbol" w:hAnsi="Symbol" w:hint="default"/>
        <w:b w:val="0"/>
        <w:i w:val="0"/>
        <w:color w:val="auto"/>
        <w:sz w:val="22"/>
      </w:rPr>
    </w:lvl>
    <w:lvl w:ilvl="2">
      <w:start w:val="1"/>
      <w:numFmt w:val="bullet"/>
      <w:lvlText w:val=""/>
      <w:lvlJc w:val="left"/>
      <w:pPr>
        <w:ind w:left="1602" w:hanging="504"/>
      </w:pPr>
      <w:rPr>
        <w:rFonts w:ascii="Symbol" w:hAnsi="Symbol" w:hint="default"/>
        <w:b w:val="0"/>
        <w:i w:val="0"/>
        <w:sz w:val="22"/>
      </w:rPr>
    </w:lvl>
    <w:lvl w:ilvl="3">
      <w:start w:val="1"/>
      <w:numFmt w:val="bullet"/>
      <w:lvlText w:val=""/>
      <w:lvlJc w:val="left"/>
      <w:pPr>
        <w:ind w:left="2106" w:hanging="504"/>
      </w:pPr>
      <w:rPr>
        <w:rFonts w:ascii="Symbol" w:hAnsi="Symbol" w:hint="default"/>
        <w:b w:val="0"/>
        <w:i w:val="0"/>
        <w:color w:val="auto"/>
        <w:sz w:val="22"/>
      </w:rPr>
    </w:lvl>
    <w:lvl w:ilvl="4">
      <w:start w:val="1"/>
      <w:numFmt w:val="decimal"/>
      <w:lvlText w:val="%5)"/>
      <w:lvlJc w:val="left"/>
      <w:pPr>
        <w:ind w:left="2610" w:hanging="504"/>
      </w:pPr>
      <w:rPr>
        <w:rFonts w:ascii="Calibri" w:hAnsi="Calibri" w:hint="default"/>
        <w:b w:val="0"/>
        <w:i w:val="0"/>
        <w:color w:val="auto"/>
        <w:sz w:val="22"/>
      </w:rPr>
    </w:lvl>
    <w:lvl w:ilvl="5">
      <w:start w:val="1"/>
      <w:numFmt w:val="lowerLetter"/>
      <w:lvlText w:val="%6)"/>
      <w:lvlJc w:val="right"/>
      <w:pPr>
        <w:ind w:left="3114" w:hanging="504"/>
      </w:pPr>
      <w:rPr>
        <w:rFonts w:ascii="Calibri" w:hAnsi="Calibri" w:hint="default"/>
        <w:b w:val="0"/>
        <w:i w:val="0"/>
        <w:color w:val="auto"/>
        <w:sz w:val="22"/>
      </w:rPr>
    </w:lvl>
    <w:lvl w:ilvl="6">
      <w:start w:val="1"/>
      <w:numFmt w:val="bullet"/>
      <w:lvlText w:val=""/>
      <w:lvlJc w:val="left"/>
      <w:pPr>
        <w:ind w:left="1854" w:hanging="504"/>
      </w:pPr>
      <w:rPr>
        <w:rFonts w:ascii="Symbol" w:hAnsi="Symbol" w:hint="default"/>
      </w:rPr>
    </w:lvl>
    <w:lvl w:ilvl="7">
      <w:start w:val="1"/>
      <w:numFmt w:val="lowerLetter"/>
      <w:lvlText w:val="%8."/>
      <w:lvlJc w:val="left"/>
      <w:pPr>
        <w:ind w:left="4122" w:hanging="504"/>
      </w:pPr>
      <w:rPr>
        <w:rFonts w:hint="default"/>
      </w:rPr>
    </w:lvl>
    <w:lvl w:ilvl="8">
      <w:start w:val="1"/>
      <w:numFmt w:val="lowerRoman"/>
      <w:lvlText w:val="%9."/>
      <w:lvlJc w:val="right"/>
      <w:pPr>
        <w:ind w:left="4626" w:hanging="504"/>
      </w:pPr>
      <w:rPr>
        <w:rFonts w:hint="default"/>
      </w:rPr>
    </w:lvl>
  </w:abstractNum>
  <w:abstractNum w:abstractNumId="3">
    <w:nsid w:val="134F7098"/>
    <w:multiLevelType w:val="hybridMultilevel"/>
    <w:tmpl w:val="9C74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3F98"/>
    <w:multiLevelType w:val="multilevel"/>
    <w:tmpl w:val="53FE8D7E"/>
    <w:lvl w:ilvl="0">
      <w:start w:val="1"/>
      <w:numFmt w:val="upperRoman"/>
      <w:lvlText w:val="%1."/>
      <w:lvlJc w:val="left"/>
      <w:pPr>
        <w:ind w:left="594" w:hanging="504"/>
      </w:pPr>
      <w:rPr>
        <w:rFonts w:ascii="Calibri" w:hAnsi="Calibri" w:hint="default"/>
        <w:b/>
        <w:i w:val="0"/>
        <w:color w:val="auto"/>
        <w:sz w:val="22"/>
      </w:rPr>
    </w:lvl>
    <w:lvl w:ilvl="1">
      <w:start w:val="1"/>
      <w:numFmt w:val="bullet"/>
      <w:lvlText w:val=""/>
      <w:lvlJc w:val="left"/>
      <w:pPr>
        <w:ind w:left="1098" w:hanging="504"/>
      </w:pPr>
      <w:rPr>
        <w:rFonts w:ascii="Symbol" w:hAnsi="Symbol" w:hint="default"/>
        <w:b w:val="0"/>
        <w:i w:val="0"/>
        <w:color w:val="auto"/>
        <w:sz w:val="22"/>
      </w:rPr>
    </w:lvl>
    <w:lvl w:ilvl="2">
      <w:start w:val="1"/>
      <w:numFmt w:val="bullet"/>
      <w:lvlText w:val=""/>
      <w:lvlJc w:val="left"/>
      <w:pPr>
        <w:ind w:left="1602" w:hanging="504"/>
      </w:pPr>
      <w:rPr>
        <w:rFonts w:ascii="Symbol" w:hAnsi="Symbol" w:hint="default"/>
        <w:b w:val="0"/>
        <w:i w:val="0"/>
        <w:sz w:val="22"/>
      </w:rPr>
    </w:lvl>
    <w:lvl w:ilvl="3">
      <w:start w:val="1"/>
      <w:numFmt w:val="lowerLetter"/>
      <w:lvlText w:val="%4."/>
      <w:lvlJc w:val="left"/>
      <w:pPr>
        <w:ind w:left="2106" w:hanging="504"/>
      </w:pPr>
      <w:rPr>
        <w:rFonts w:ascii="Calibri" w:hAnsi="Calibri" w:hint="default"/>
        <w:b w:val="0"/>
        <w:i w:val="0"/>
        <w:color w:val="auto"/>
        <w:sz w:val="22"/>
      </w:rPr>
    </w:lvl>
    <w:lvl w:ilvl="4">
      <w:start w:val="1"/>
      <w:numFmt w:val="decimal"/>
      <w:lvlText w:val="%5)"/>
      <w:lvlJc w:val="left"/>
      <w:pPr>
        <w:ind w:left="2610" w:hanging="504"/>
      </w:pPr>
      <w:rPr>
        <w:rFonts w:ascii="Calibri" w:hAnsi="Calibri" w:hint="default"/>
        <w:b w:val="0"/>
        <w:i w:val="0"/>
        <w:color w:val="auto"/>
        <w:sz w:val="22"/>
      </w:rPr>
    </w:lvl>
    <w:lvl w:ilvl="5">
      <w:start w:val="1"/>
      <w:numFmt w:val="lowerLetter"/>
      <w:lvlText w:val="%6)"/>
      <w:lvlJc w:val="right"/>
      <w:pPr>
        <w:ind w:left="3114" w:hanging="504"/>
      </w:pPr>
      <w:rPr>
        <w:rFonts w:ascii="Calibri" w:hAnsi="Calibri" w:hint="default"/>
        <w:b w:val="0"/>
        <w:i w:val="0"/>
        <w:color w:val="auto"/>
        <w:sz w:val="22"/>
      </w:rPr>
    </w:lvl>
    <w:lvl w:ilvl="6">
      <w:start w:val="1"/>
      <w:numFmt w:val="bullet"/>
      <w:lvlText w:val=""/>
      <w:lvlJc w:val="left"/>
      <w:pPr>
        <w:ind w:left="1854" w:hanging="504"/>
      </w:pPr>
      <w:rPr>
        <w:rFonts w:ascii="Symbol" w:hAnsi="Symbol" w:hint="default"/>
      </w:rPr>
    </w:lvl>
    <w:lvl w:ilvl="7">
      <w:start w:val="1"/>
      <w:numFmt w:val="lowerLetter"/>
      <w:lvlText w:val="%8."/>
      <w:lvlJc w:val="left"/>
      <w:pPr>
        <w:ind w:left="4122" w:hanging="504"/>
      </w:pPr>
      <w:rPr>
        <w:rFonts w:hint="default"/>
      </w:rPr>
    </w:lvl>
    <w:lvl w:ilvl="8">
      <w:start w:val="1"/>
      <w:numFmt w:val="lowerRoman"/>
      <w:lvlText w:val="%9."/>
      <w:lvlJc w:val="right"/>
      <w:pPr>
        <w:ind w:left="4626" w:hanging="504"/>
      </w:pPr>
      <w:rPr>
        <w:rFonts w:hint="default"/>
      </w:rPr>
    </w:lvl>
  </w:abstractNum>
  <w:abstractNum w:abstractNumId="5">
    <w:nsid w:val="17DF69FC"/>
    <w:multiLevelType w:val="hybridMultilevel"/>
    <w:tmpl w:val="857ED9E6"/>
    <w:lvl w:ilvl="0" w:tplc="0409000F">
      <w:start w:val="1"/>
      <w:numFmt w:val="decimal"/>
      <w:lvlText w:val="%1."/>
      <w:lvlJc w:val="left"/>
      <w:pPr>
        <w:ind w:left="1818" w:hanging="360"/>
      </w:p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6">
    <w:nsid w:val="17E97EA1"/>
    <w:multiLevelType w:val="hybridMultilevel"/>
    <w:tmpl w:val="9A82104A"/>
    <w:lvl w:ilvl="0" w:tplc="04090001">
      <w:start w:val="1"/>
      <w:numFmt w:val="bullet"/>
      <w:lvlText w:val=""/>
      <w:lvlJc w:val="left"/>
      <w:pPr>
        <w:ind w:left="1818" w:hanging="360"/>
      </w:pPr>
      <w:rPr>
        <w:rFonts w:ascii="Symbol" w:hAnsi="Symbol" w:hint="default"/>
      </w:rPr>
    </w:lvl>
    <w:lvl w:ilvl="1" w:tplc="04090003">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7">
    <w:nsid w:val="18DB4A66"/>
    <w:multiLevelType w:val="multilevel"/>
    <w:tmpl w:val="53FE8D7E"/>
    <w:lvl w:ilvl="0">
      <w:start w:val="1"/>
      <w:numFmt w:val="upperRoman"/>
      <w:lvlText w:val="%1."/>
      <w:lvlJc w:val="left"/>
      <w:pPr>
        <w:ind w:left="594" w:hanging="504"/>
      </w:pPr>
      <w:rPr>
        <w:rFonts w:ascii="Calibri" w:hAnsi="Calibri" w:hint="default"/>
        <w:b/>
        <w:i w:val="0"/>
        <w:color w:val="auto"/>
        <w:sz w:val="22"/>
      </w:rPr>
    </w:lvl>
    <w:lvl w:ilvl="1">
      <w:start w:val="1"/>
      <w:numFmt w:val="bullet"/>
      <w:lvlText w:val=""/>
      <w:lvlJc w:val="left"/>
      <w:pPr>
        <w:ind w:left="1098" w:hanging="504"/>
      </w:pPr>
      <w:rPr>
        <w:rFonts w:ascii="Symbol" w:hAnsi="Symbol" w:hint="default"/>
        <w:b w:val="0"/>
        <w:i w:val="0"/>
        <w:color w:val="auto"/>
        <w:sz w:val="22"/>
      </w:rPr>
    </w:lvl>
    <w:lvl w:ilvl="2">
      <w:start w:val="1"/>
      <w:numFmt w:val="bullet"/>
      <w:lvlText w:val=""/>
      <w:lvlJc w:val="left"/>
      <w:pPr>
        <w:ind w:left="1602" w:hanging="504"/>
      </w:pPr>
      <w:rPr>
        <w:rFonts w:ascii="Symbol" w:hAnsi="Symbol" w:hint="default"/>
        <w:b w:val="0"/>
        <w:i w:val="0"/>
        <w:sz w:val="22"/>
      </w:rPr>
    </w:lvl>
    <w:lvl w:ilvl="3">
      <w:start w:val="1"/>
      <w:numFmt w:val="lowerLetter"/>
      <w:lvlText w:val="%4."/>
      <w:lvlJc w:val="left"/>
      <w:pPr>
        <w:ind w:left="2106" w:hanging="504"/>
      </w:pPr>
      <w:rPr>
        <w:rFonts w:ascii="Calibri" w:hAnsi="Calibri" w:hint="default"/>
        <w:b w:val="0"/>
        <w:i w:val="0"/>
        <w:color w:val="auto"/>
        <w:sz w:val="22"/>
      </w:rPr>
    </w:lvl>
    <w:lvl w:ilvl="4">
      <w:start w:val="1"/>
      <w:numFmt w:val="decimal"/>
      <w:lvlText w:val="%5)"/>
      <w:lvlJc w:val="left"/>
      <w:pPr>
        <w:ind w:left="2610" w:hanging="504"/>
      </w:pPr>
      <w:rPr>
        <w:rFonts w:ascii="Calibri" w:hAnsi="Calibri" w:hint="default"/>
        <w:b w:val="0"/>
        <w:i w:val="0"/>
        <w:color w:val="auto"/>
        <w:sz w:val="22"/>
      </w:rPr>
    </w:lvl>
    <w:lvl w:ilvl="5">
      <w:start w:val="1"/>
      <w:numFmt w:val="lowerLetter"/>
      <w:lvlText w:val="%6)"/>
      <w:lvlJc w:val="right"/>
      <w:pPr>
        <w:ind w:left="3114" w:hanging="504"/>
      </w:pPr>
      <w:rPr>
        <w:rFonts w:ascii="Calibri" w:hAnsi="Calibri" w:hint="default"/>
        <w:b w:val="0"/>
        <w:i w:val="0"/>
        <w:color w:val="auto"/>
        <w:sz w:val="22"/>
      </w:rPr>
    </w:lvl>
    <w:lvl w:ilvl="6">
      <w:start w:val="1"/>
      <w:numFmt w:val="bullet"/>
      <w:lvlText w:val=""/>
      <w:lvlJc w:val="left"/>
      <w:pPr>
        <w:ind w:left="1854" w:hanging="504"/>
      </w:pPr>
      <w:rPr>
        <w:rFonts w:ascii="Symbol" w:hAnsi="Symbol" w:hint="default"/>
      </w:rPr>
    </w:lvl>
    <w:lvl w:ilvl="7">
      <w:start w:val="1"/>
      <w:numFmt w:val="lowerLetter"/>
      <w:lvlText w:val="%8."/>
      <w:lvlJc w:val="left"/>
      <w:pPr>
        <w:ind w:left="4122" w:hanging="504"/>
      </w:pPr>
      <w:rPr>
        <w:rFonts w:hint="default"/>
      </w:rPr>
    </w:lvl>
    <w:lvl w:ilvl="8">
      <w:start w:val="1"/>
      <w:numFmt w:val="lowerRoman"/>
      <w:lvlText w:val="%9."/>
      <w:lvlJc w:val="right"/>
      <w:pPr>
        <w:ind w:left="4626" w:hanging="504"/>
      </w:pPr>
      <w:rPr>
        <w:rFonts w:hint="default"/>
      </w:rPr>
    </w:lvl>
  </w:abstractNum>
  <w:abstractNum w:abstractNumId="8">
    <w:nsid w:val="28AA2DD9"/>
    <w:multiLevelType w:val="multilevel"/>
    <w:tmpl w:val="41A6E544"/>
    <w:lvl w:ilvl="0">
      <w:start w:val="1"/>
      <w:numFmt w:val="upperRoman"/>
      <w:lvlText w:val="%1."/>
      <w:lvlJc w:val="left"/>
      <w:pPr>
        <w:ind w:left="594" w:hanging="504"/>
      </w:pPr>
      <w:rPr>
        <w:rFonts w:ascii="Calibri" w:hAnsi="Calibri" w:hint="default"/>
        <w:b/>
        <w:i w:val="0"/>
        <w:color w:val="auto"/>
        <w:sz w:val="22"/>
      </w:rPr>
    </w:lvl>
    <w:lvl w:ilvl="1">
      <w:start w:val="1"/>
      <w:numFmt w:val="bullet"/>
      <w:lvlText w:val=""/>
      <w:lvlJc w:val="left"/>
      <w:pPr>
        <w:ind w:left="1098" w:hanging="504"/>
      </w:pPr>
      <w:rPr>
        <w:rFonts w:ascii="Symbol" w:hAnsi="Symbol" w:hint="default"/>
        <w:b w:val="0"/>
        <w:i w:val="0"/>
        <w:color w:val="auto"/>
        <w:sz w:val="22"/>
      </w:rPr>
    </w:lvl>
    <w:lvl w:ilvl="2">
      <w:start w:val="1"/>
      <w:numFmt w:val="bullet"/>
      <w:lvlText w:val=""/>
      <w:lvlJc w:val="left"/>
      <w:pPr>
        <w:ind w:left="1602" w:hanging="504"/>
      </w:pPr>
      <w:rPr>
        <w:rFonts w:ascii="Symbol" w:hAnsi="Symbol" w:hint="default"/>
        <w:b w:val="0"/>
        <w:i w:val="0"/>
        <w:sz w:val="22"/>
      </w:rPr>
    </w:lvl>
    <w:lvl w:ilvl="3">
      <w:start w:val="1"/>
      <w:numFmt w:val="bullet"/>
      <w:lvlText w:val=""/>
      <w:lvlJc w:val="left"/>
      <w:pPr>
        <w:ind w:left="2106" w:hanging="504"/>
      </w:pPr>
      <w:rPr>
        <w:rFonts w:ascii="Symbol" w:hAnsi="Symbol" w:hint="default"/>
        <w:b w:val="0"/>
        <w:i w:val="0"/>
        <w:color w:val="auto"/>
        <w:sz w:val="22"/>
      </w:rPr>
    </w:lvl>
    <w:lvl w:ilvl="4">
      <w:start w:val="1"/>
      <w:numFmt w:val="decimal"/>
      <w:lvlText w:val="%5)"/>
      <w:lvlJc w:val="left"/>
      <w:pPr>
        <w:ind w:left="2610" w:hanging="504"/>
      </w:pPr>
      <w:rPr>
        <w:rFonts w:ascii="Calibri" w:hAnsi="Calibri" w:hint="default"/>
        <w:b w:val="0"/>
        <w:i w:val="0"/>
        <w:color w:val="auto"/>
        <w:sz w:val="22"/>
      </w:rPr>
    </w:lvl>
    <w:lvl w:ilvl="5">
      <w:start w:val="1"/>
      <w:numFmt w:val="lowerLetter"/>
      <w:lvlText w:val="%6)"/>
      <w:lvlJc w:val="right"/>
      <w:pPr>
        <w:ind w:left="3114" w:hanging="504"/>
      </w:pPr>
      <w:rPr>
        <w:rFonts w:ascii="Calibri" w:hAnsi="Calibri" w:hint="default"/>
        <w:b w:val="0"/>
        <w:i w:val="0"/>
        <w:color w:val="auto"/>
        <w:sz w:val="22"/>
      </w:rPr>
    </w:lvl>
    <w:lvl w:ilvl="6">
      <w:start w:val="1"/>
      <w:numFmt w:val="bullet"/>
      <w:lvlText w:val=""/>
      <w:lvlJc w:val="left"/>
      <w:pPr>
        <w:ind w:left="1854" w:hanging="504"/>
      </w:pPr>
      <w:rPr>
        <w:rFonts w:ascii="Symbol" w:hAnsi="Symbol" w:hint="default"/>
      </w:rPr>
    </w:lvl>
    <w:lvl w:ilvl="7">
      <w:start w:val="1"/>
      <w:numFmt w:val="lowerLetter"/>
      <w:lvlText w:val="%8."/>
      <w:lvlJc w:val="left"/>
      <w:pPr>
        <w:ind w:left="4122" w:hanging="504"/>
      </w:pPr>
      <w:rPr>
        <w:rFonts w:hint="default"/>
      </w:rPr>
    </w:lvl>
    <w:lvl w:ilvl="8">
      <w:start w:val="1"/>
      <w:numFmt w:val="lowerRoman"/>
      <w:lvlText w:val="%9."/>
      <w:lvlJc w:val="right"/>
      <w:pPr>
        <w:ind w:left="4626" w:hanging="504"/>
      </w:pPr>
      <w:rPr>
        <w:rFonts w:hint="default"/>
      </w:rPr>
    </w:lvl>
  </w:abstractNum>
  <w:abstractNum w:abstractNumId="9">
    <w:nsid w:val="2B4D5B8E"/>
    <w:multiLevelType w:val="hybridMultilevel"/>
    <w:tmpl w:val="C2248D0C"/>
    <w:lvl w:ilvl="0" w:tplc="D0C6FC4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A2294"/>
    <w:multiLevelType w:val="hybridMultilevel"/>
    <w:tmpl w:val="A14E94FA"/>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1">
    <w:nsid w:val="3930284C"/>
    <w:multiLevelType w:val="hybridMultilevel"/>
    <w:tmpl w:val="913C3644"/>
    <w:lvl w:ilvl="0" w:tplc="07BA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22259A"/>
    <w:multiLevelType w:val="multilevel"/>
    <w:tmpl w:val="53FE8D7E"/>
    <w:lvl w:ilvl="0">
      <w:start w:val="1"/>
      <w:numFmt w:val="upperRoman"/>
      <w:lvlText w:val="%1."/>
      <w:lvlJc w:val="left"/>
      <w:pPr>
        <w:ind w:left="1602" w:hanging="504"/>
      </w:pPr>
      <w:rPr>
        <w:rFonts w:ascii="Calibri" w:hAnsi="Calibri" w:hint="default"/>
        <w:b/>
        <w:i w:val="0"/>
        <w:color w:val="auto"/>
        <w:sz w:val="22"/>
      </w:rPr>
    </w:lvl>
    <w:lvl w:ilvl="1">
      <w:start w:val="1"/>
      <w:numFmt w:val="bullet"/>
      <w:lvlText w:val=""/>
      <w:lvlJc w:val="left"/>
      <w:pPr>
        <w:ind w:left="2106" w:hanging="504"/>
      </w:pPr>
      <w:rPr>
        <w:rFonts w:ascii="Symbol" w:hAnsi="Symbol" w:hint="default"/>
        <w:b w:val="0"/>
        <w:i w:val="0"/>
        <w:color w:val="auto"/>
        <w:sz w:val="22"/>
      </w:rPr>
    </w:lvl>
    <w:lvl w:ilvl="2">
      <w:start w:val="1"/>
      <w:numFmt w:val="bullet"/>
      <w:lvlText w:val=""/>
      <w:lvlJc w:val="left"/>
      <w:pPr>
        <w:ind w:left="2610" w:hanging="504"/>
      </w:pPr>
      <w:rPr>
        <w:rFonts w:ascii="Symbol" w:hAnsi="Symbol" w:hint="default"/>
        <w:b w:val="0"/>
        <w:i w:val="0"/>
        <w:sz w:val="22"/>
        <w:szCs w:val="20"/>
      </w:rPr>
    </w:lvl>
    <w:lvl w:ilvl="3">
      <w:start w:val="1"/>
      <w:numFmt w:val="lowerLetter"/>
      <w:lvlText w:val="%4."/>
      <w:lvlJc w:val="left"/>
      <w:pPr>
        <w:ind w:left="3114" w:hanging="504"/>
      </w:pPr>
      <w:rPr>
        <w:rFonts w:ascii="Calibri" w:hAnsi="Calibri" w:hint="default"/>
        <w:b w:val="0"/>
        <w:i w:val="0"/>
        <w:color w:val="auto"/>
        <w:sz w:val="22"/>
      </w:rPr>
    </w:lvl>
    <w:lvl w:ilvl="4">
      <w:start w:val="1"/>
      <w:numFmt w:val="decimal"/>
      <w:lvlText w:val="%5)"/>
      <w:lvlJc w:val="left"/>
      <w:pPr>
        <w:ind w:left="3618" w:hanging="504"/>
      </w:pPr>
      <w:rPr>
        <w:rFonts w:ascii="Calibri" w:hAnsi="Calibri" w:hint="default"/>
        <w:b w:val="0"/>
        <w:i w:val="0"/>
        <w:color w:val="auto"/>
        <w:sz w:val="22"/>
      </w:rPr>
    </w:lvl>
    <w:lvl w:ilvl="5">
      <w:start w:val="1"/>
      <w:numFmt w:val="lowerLetter"/>
      <w:lvlText w:val="%6)"/>
      <w:lvlJc w:val="right"/>
      <w:pPr>
        <w:ind w:left="4122" w:hanging="504"/>
      </w:pPr>
      <w:rPr>
        <w:rFonts w:ascii="Calibri" w:hAnsi="Calibri" w:hint="default"/>
        <w:b w:val="0"/>
        <w:i w:val="0"/>
        <w:color w:val="auto"/>
        <w:sz w:val="22"/>
      </w:rPr>
    </w:lvl>
    <w:lvl w:ilvl="6">
      <w:start w:val="1"/>
      <w:numFmt w:val="bullet"/>
      <w:lvlText w:val=""/>
      <w:lvlJc w:val="left"/>
      <w:pPr>
        <w:ind w:left="2862" w:hanging="504"/>
      </w:pPr>
      <w:rPr>
        <w:rFonts w:ascii="Symbol" w:hAnsi="Symbol" w:hint="default"/>
      </w:rPr>
    </w:lvl>
    <w:lvl w:ilvl="7">
      <w:start w:val="1"/>
      <w:numFmt w:val="lowerLetter"/>
      <w:lvlText w:val="%8."/>
      <w:lvlJc w:val="left"/>
      <w:pPr>
        <w:ind w:left="5130" w:hanging="504"/>
      </w:pPr>
      <w:rPr>
        <w:rFonts w:hint="default"/>
      </w:rPr>
    </w:lvl>
    <w:lvl w:ilvl="8">
      <w:start w:val="1"/>
      <w:numFmt w:val="lowerRoman"/>
      <w:lvlText w:val="%9."/>
      <w:lvlJc w:val="right"/>
      <w:pPr>
        <w:ind w:left="5634" w:hanging="504"/>
      </w:pPr>
      <w:rPr>
        <w:rFonts w:hint="default"/>
      </w:rPr>
    </w:lvl>
  </w:abstractNum>
  <w:abstractNum w:abstractNumId="13">
    <w:nsid w:val="43E207E8"/>
    <w:multiLevelType w:val="hybridMultilevel"/>
    <w:tmpl w:val="E550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B2D04"/>
    <w:multiLevelType w:val="hybridMultilevel"/>
    <w:tmpl w:val="4FDAF410"/>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5">
    <w:nsid w:val="6350374B"/>
    <w:multiLevelType w:val="hybridMultilevel"/>
    <w:tmpl w:val="C8FAB4EE"/>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6">
    <w:nsid w:val="68CC1855"/>
    <w:multiLevelType w:val="hybridMultilevel"/>
    <w:tmpl w:val="6BD416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9E45D8"/>
    <w:multiLevelType w:val="multilevel"/>
    <w:tmpl w:val="E6A0046A"/>
    <w:lvl w:ilvl="0">
      <w:start w:val="1"/>
      <w:numFmt w:val="decimal"/>
      <w:lvlText w:val="%1."/>
      <w:lvlJc w:val="left"/>
      <w:pPr>
        <w:ind w:left="1458" w:hanging="360"/>
      </w:pPr>
      <w:rPr>
        <w:rFonts w:hint="default"/>
      </w:rPr>
    </w:lvl>
    <w:lvl w:ilvl="1">
      <w:start w:val="1"/>
      <w:numFmt w:val="bullet"/>
      <w:lvlText w:val=""/>
      <w:lvlJc w:val="left"/>
      <w:pPr>
        <w:ind w:left="2178" w:hanging="360"/>
      </w:pPr>
      <w:rPr>
        <w:rFonts w:ascii="Symbol" w:hAnsi="Symbol" w:hint="default"/>
      </w:rPr>
    </w:lvl>
    <w:lvl w:ilvl="2" w:tentative="1">
      <w:start w:val="1"/>
      <w:numFmt w:val="lowerRoman"/>
      <w:lvlText w:val="%3."/>
      <w:lvlJc w:val="right"/>
      <w:pPr>
        <w:ind w:left="2898" w:hanging="180"/>
      </w:pPr>
    </w:lvl>
    <w:lvl w:ilvl="3" w:tentative="1">
      <w:start w:val="1"/>
      <w:numFmt w:val="decimal"/>
      <w:lvlText w:val="%4."/>
      <w:lvlJc w:val="left"/>
      <w:pPr>
        <w:ind w:left="3618" w:hanging="360"/>
      </w:pPr>
    </w:lvl>
    <w:lvl w:ilvl="4" w:tentative="1">
      <w:start w:val="1"/>
      <w:numFmt w:val="lowerLetter"/>
      <w:lvlText w:val="%5."/>
      <w:lvlJc w:val="left"/>
      <w:pPr>
        <w:ind w:left="4338" w:hanging="360"/>
      </w:pPr>
    </w:lvl>
    <w:lvl w:ilvl="5" w:tentative="1">
      <w:start w:val="1"/>
      <w:numFmt w:val="lowerRoman"/>
      <w:lvlText w:val="%6."/>
      <w:lvlJc w:val="right"/>
      <w:pPr>
        <w:ind w:left="5058" w:hanging="180"/>
      </w:pPr>
    </w:lvl>
    <w:lvl w:ilvl="6" w:tentative="1">
      <w:start w:val="1"/>
      <w:numFmt w:val="decimal"/>
      <w:lvlText w:val="%7."/>
      <w:lvlJc w:val="left"/>
      <w:pPr>
        <w:ind w:left="5778" w:hanging="360"/>
      </w:pPr>
    </w:lvl>
    <w:lvl w:ilvl="7" w:tentative="1">
      <w:start w:val="1"/>
      <w:numFmt w:val="lowerLetter"/>
      <w:lvlText w:val="%8."/>
      <w:lvlJc w:val="left"/>
      <w:pPr>
        <w:ind w:left="6498" w:hanging="360"/>
      </w:pPr>
    </w:lvl>
    <w:lvl w:ilvl="8" w:tentative="1">
      <w:start w:val="1"/>
      <w:numFmt w:val="lowerRoman"/>
      <w:lvlText w:val="%9."/>
      <w:lvlJc w:val="right"/>
      <w:pPr>
        <w:ind w:left="7218" w:hanging="180"/>
      </w:pPr>
    </w:lvl>
  </w:abstractNum>
  <w:abstractNum w:abstractNumId="18">
    <w:nsid w:val="786B65A7"/>
    <w:multiLevelType w:val="hybridMultilevel"/>
    <w:tmpl w:val="063A3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FD97A87"/>
    <w:multiLevelType w:val="hybridMultilevel"/>
    <w:tmpl w:val="B4440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3"/>
  </w:num>
  <w:num w:numId="4">
    <w:abstractNumId w:val="15"/>
  </w:num>
  <w:num w:numId="5">
    <w:abstractNumId w:val="0"/>
  </w:num>
  <w:num w:numId="6">
    <w:abstractNumId w:val="6"/>
  </w:num>
  <w:num w:numId="7">
    <w:abstractNumId w:val="7"/>
  </w:num>
  <w:num w:numId="8">
    <w:abstractNumId w:val="9"/>
  </w:num>
  <w:num w:numId="9">
    <w:abstractNumId w:val="8"/>
  </w:num>
  <w:num w:numId="10">
    <w:abstractNumId w:val="14"/>
  </w:num>
  <w:num w:numId="11">
    <w:abstractNumId w:val="10"/>
  </w:num>
  <w:num w:numId="12">
    <w:abstractNumId w:val="18"/>
  </w:num>
  <w:num w:numId="13">
    <w:abstractNumId w:val="3"/>
  </w:num>
  <w:num w:numId="14">
    <w:abstractNumId w:val="16"/>
  </w:num>
  <w:num w:numId="15">
    <w:abstractNumId w:val="5"/>
  </w:num>
  <w:num w:numId="16">
    <w:abstractNumId w:val="19"/>
  </w:num>
  <w:num w:numId="17">
    <w:abstractNumId w:val="2"/>
  </w:num>
  <w:num w:numId="18">
    <w:abstractNumId w:val="11"/>
  </w:num>
  <w:num w:numId="19">
    <w:abstractNumId w:val="17"/>
  </w:num>
  <w:num w:numId="2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707016"/>
    <w:rsid w:val="000319D7"/>
    <w:rsid w:val="00034043"/>
    <w:rsid w:val="00043E4E"/>
    <w:rsid w:val="0004475A"/>
    <w:rsid w:val="00054438"/>
    <w:rsid w:val="00056F1D"/>
    <w:rsid w:val="00064EDC"/>
    <w:rsid w:val="00074D2F"/>
    <w:rsid w:val="0008363D"/>
    <w:rsid w:val="000A1D23"/>
    <w:rsid w:val="000A20B7"/>
    <w:rsid w:val="000A5C2F"/>
    <w:rsid w:val="000A7AA7"/>
    <w:rsid w:val="000B3EBB"/>
    <w:rsid w:val="000B40B1"/>
    <w:rsid w:val="000B4B82"/>
    <w:rsid w:val="000B66BD"/>
    <w:rsid w:val="000C4289"/>
    <w:rsid w:val="000C6C64"/>
    <w:rsid w:val="000D33FC"/>
    <w:rsid w:val="000D6D11"/>
    <w:rsid w:val="000E0019"/>
    <w:rsid w:val="000E364C"/>
    <w:rsid w:val="000F5683"/>
    <w:rsid w:val="000F6C8D"/>
    <w:rsid w:val="00107B60"/>
    <w:rsid w:val="00107D05"/>
    <w:rsid w:val="00113BF0"/>
    <w:rsid w:val="00120BAF"/>
    <w:rsid w:val="00134044"/>
    <w:rsid w:val="00151A82"/>
    <w:rsid w:val="001541A5"/>
    <w:rsid w:val="00156EE2"/>
    <w:rsid w:val="00177A4E"/>
    <w:rsid w:val="00186ADE"/>
    <w:rsid w:val="001A154C"/>
    <w:rsid w:val="001A2359"/>
    <w:rsid w:val="001A3176"/>
    <w:rsid w:val="001C1CDA"/>
    <w:rsid w:val="001C32AC"/>
    <w:rsid w:val="001D21CB"/>
    <w:rsid w:val="001D5AF8"/>
    <w:rsid w:val="001D77D0"/>
    <w:rsid w:val="001D786C"/>
    <w:rsid w:val="001E4561"/>
    <w:rsid w:val="001E51A0"/>
    <w:rsid w:val="001F1AC7"/>
    <w:rsid w:val="001F30CC"/>
    <w:rsid w:val="0020038F"/>
    <w:rsid w:val="00217EE3"/>
    <w:rsid w:val="00220A23"/>
    <w:rsid w:val="00221D16"/>
    <w:rsid w:val="00223873"/>
    <w:rsid w:val="002477D1"/>
    <w:rsid w:val="00247998"/>
    <w:rsid w:val="00251885"/>
    <w:rsid w:val="0025535A"/>
    <w:rsid w:val="00256448"/>
    <w:rsid w:val="00256892"/>
    <w:rsid w:val="00262891"/>
    <w:rsid w:val="00264F3F"/>
    <w:rsid w:val="00272186"/>
    <w:rsid w:val="00277D8F"/>
    <w:rsid w:val="00280000"/>
    <w:rsid w:val="00284217"/>
    <w:rsid w:val="00286AA4"/>
    <w:rsid w:val="0029733E"/>
    <w:rsid w:val="002A6927"/>
    <w:rsid w:val="002C435A"/>
    <w:rsid w:val="002C6FEC"/>
    <w:rsid w:val="002D2FB5"/>
    <w:rsid w:val="002E0632"/>
    <w:rsid w:val="002F58FD"/>
    <w:rsid w:val="002F62D1"/>
    <w:rsid w:val="00300A1B"/>
    <w:rsid w:val="00302AA5"/>
    <w:rsid w:val="0031667A"/>
    <w:rsid w:val="0032342C"/>
    <w:rsid w:val="00332F49"/>
    <w:rsid w:val="00341ED8"/>
    <w:rsid w:val="00345E3E"/>
    <w:rsid w:val="00350039"/>
    <w:rsid w:val="003503A4"/>
    <w:rsid w:val="00350A6C"/>
    <w:rsid w:val="003527A4"/>
    <w:rsid w:val="00352A34"/>
    <w:rsid w:val="00353CEF"/>
    <w:rsid w:val="003566D6"/>
    <w:rsid w:val="00365F88"/>
    <w:rsid w:val="00373DB8"/>
    <w:rsid w:val="00374E79"/>
    <w:rsid w:val="00384B88"/>
    <w:rsid w:val="00393C61"/>
    <w:rsid w:val="00394E93"/>
    <w:rsid w:val="00396B3E"/>
    <w:rsid w:val="003B4E42"/>
    <w:rsid w:val="003C15F6"/>
    <w:rsid w:val="003C3C4A"/>
    <w:rsid w:val="003C73FA"/>
    <w:rsid w:val="003E3EC3"/>
    <w:rsid w:val="003E4113"/>
    <w:rsid w:val="003F0B2A"/>
    <w:rsid w:val="003F1EDF"/>
    <w:rsid w:val="003F7966"/>
    <w:rsid w:val="003F79CD"/>
    <w:rsid w:val="00406B51"/>
    <w:rsid w:val="0042455F"/>
    <w:rsid w:val="00424B61"/>
    <w:rsid w:val="00432F19"/>
    <w:rsid w:val="00432F9E"/>
    <w:rsid w:val="00436B81"/>
    <w:rsid w:val="0044268F"/>
    <w:rsid w:val="00446FDA"/>
    <w:rsid w:val="00447DDE"/>
    <w:rsid w:val="00450BB3"/>
    <w:rsid w:val="004532EB"/>
    <w:rsid w:val="00455EC0"/>
    <w:rsid w:val="00457AFC"/>
    <w:rsid w:val="004621DF"/>
    <w:rsid w:val="00462C69"/>
    <w:rsid w:val="004826BD"/>
    <w:rsid w:val="00483365"/>
    <w:rsid w:val="00485DD9"/>
    <w:rsid w:val="00495CA7"/>
    <w:rsid w:val="004A0D55"/>
    <w:rsid w:val="004A4B4A"/>
    <w:rsid w:val="004B2D75"/>
    <w:rsid w:val="004D1113"/>
    <w:rsid w:val="004D3D6D"/>
    <w:rsid w:val="004D3E8C"/>
    <w:rsid w:val="004D446A"/>
    <w:rsid w:val="004E2541"/>
    <w:rsid w:val="004F0380"/>
    <w:rsid w:val="005109A5"/>
    <w:rsid w:val="00510FF2"/>
    <w:rsid w:val="00523FB0"/>
    <w:rsid w:val="00541742"/>
    <w:rsid w:val="00543356"/>
    <w:rsid w:val="005464C1"/>
    <w:rsid w:val="005470DB"/>
    <w:rsid w:val="0055594A"/>
    <w:rsid w:val="00567B17"/>
    <w:rsid w:val="005708A6"/>
    <w:rsid w:val="005814AB"/>
    <w:rsid w:val="005839E4"/>
    <w:rsid w:val="00593EA2"/>
    <w:rsid w:val="00594F15"/>
    <w:rsid w:val="005A2CF8"/>
    <w:rsid w:val="005B0FA4"/>
    <w:rsid w:val="005B278D"/>
    <w:rsid w:val="005C1EE7"/>
    <w:rsid w:val="005C217E"/>
    <w:rsid w:val="005C397A"/>
    <w:rsid w:val="005D48CC"/>
    <w:rsid w:val="005F530E"/>
    <w:rsid w:val="0060344D"/>
    <w:rsid w:val="00606A19"/>
    <w:rsid w:val="00611C60"/>
    <w:rsid w:val="00612359"/>
    <w:rsid w:val="00616DBC"/>
    <w:rsid w:val="00625320"/>
    <w:rsid w:val="0064152E"/>
    <w:rsid w:val="00642D05"/>
    <w:rsid w:val="00646462"/>
    <w:rsid w:val="006465F0"/>
    <w:rsid w:val="00646C31"/>
    <w:rsid w:val="0065124B"/>
    <w:rsid w:val="00652569"/>
    <w:rsid w:val="00653366"/>
    <w:rsid w:val="00661F7C"/>
    <w:rsid w:val="00662F21"/>
    <w:rsid w:val="00666FDE"/>
    <w:rsid w:val="00671C10"/>
    <w:rsid w:val="00672C9A"/>
    <w:rsid w:val="006731DE"/>
    <w:rsid w:val="006745BC"/>
    <w:rsid w:val="0068102F"/>
    <w:rsid w:val="006820EF"/>
    <w:rsid w:val="00684F0C"/>
    <w:rsid w:val="006873FC"/>
    <w:rsid w:val="00695645"/>
    <w:rsid w:val="006A7075"/>
    <w:rsid w:val="006B0F33"/>
    <w:rsid w:val="006B2B7B"/>
    <w:rsid w:val="006C112E"/>
    <w:rsid w:val="006C1B44"/>
    <w:rsid w:val="006C6B01"/>
    <w:rsid w:val="006D04DD"/>
    <w:rsid w:val="006D2CE6"/>
    <w:rsid w:val="006D30CC"/>
    <w:rsid w:val="006D516E"/>
    <w:rsid w:val="006D58C9"/>
    <w:rsid w:val="006E0FFD"/>
    <w:rsid w:val="006E1AF3"/>
    <w:rsid w:val="006E51FD"/>
    <w:rsid w:val="006F0BC9"/>
    <w:rsid w:val="006F1C97"/>
    <w:rsid w:val="00707016"/>
    <w:rsid w:val="00707A68"/>
    <w:rsid w:val="00720342"/>
    <w:rsid w:val="00723648"/>
    <w:rsid w:val="00723FBC"/>
    <w:rsid w:val="007336B0"/>
    <w:rsid w:val="0074326E"/>
    <w:rsid w:val="007475ED"/>
    <w:rsid w:val="0075311B"/>
    <w:rsid w:val="00756EEE"/>
    <w:rsid w:val="0076558F"/>
    <w:rsid w:val="0077714A"/>
    <w:rsid w:val="00781E0E"/>
    <w:rsid w:val="00786BDE"/>
    <w:rsid w:val="007A4356"/>
    <w:rsid w:val="007A7D56"/>
    <w:rsid w:val="007B1DE2"/>
    <w:rsid w:val="007B4122"/>
    <w:rsid w:val="007B6094"/>
    <w:rsid w:val="007B634C"/>
    <w:rsid w:val="007B7745"/>
    <w:rsid w:val="007B7B1E"/>
    <w:rsid w:val="007C095B"/>
    <w:rsid w:val="007C7A69"/>
    <w:rsid w:val="007D5D57"/>
    <w:rsid w:val="007D7053"/>
    <w:rsid w:val="007D7CD6"/>
    <w:rsid w:val="008133F4"/>
    <w:rsid w:val="008157FD"/>
    <w:rsid w:val="00821C44"/>
    <w:rsid w:val="008312B9"/>
    <w:rsid w:val="00841777"/>
    <w:rsid w:val="008466F1"/>
    <w:rsid w:val="00851C44"/>
    <w:rsid w:val="0085702A"/>
    <w:rsid w:val="008726DE"/>
    <w:rsid w:val="00873E25"/>
    <w:rsid w:val="00880435"/>
    <w:rsid w:val="0088061F"/>
    <w:rsid w:val="00880699"/>
    <w:rsid w:val="00887708"/>
    <w:rsid w:val="008902AF"/>
    <w:rsid w:val="0089324B"/>
    <w:rsid w:val="008A3767"/>
    <w:rsid w:val="008B0189"/>
    <w:rsid w:val="008B159E"/>
    <w:rsid w:val="008B2629"/>
    <w:rsid w:val="008C1655"/>
    <w:rsid w:val="008C2E83"/>
    <w:rsid w:val="008C3565"/>
    <w:rsid w:val="008C461E"/>
    <w:rsid w:val="008C494B"/>
    <w:rsid w:val="008D24A0"/>
    <w:rsid w:val="008F5465"/>
    <w:rsid w:val="008F7F7C"/>
    <w:rsid w:val="00922C3F"/>
    <w:rsid w:val="00923AB5"/>
    <w:rsid w:val="00926C2F"/>
    <w:rsid w:val="00934C41"/>
    <w:rsid w:val="0094326E"/>
    <w:rsid w:val="009456B8"/>
    <w:rsid w:val="00956B17"/>
    <w:rsid w:val="0096278C"/>
    <w:rsid w:val="009665FD"/>
    <w:rsid w:val="00967274"/>
    <w:rsid w:val="00971E17"/>
    <w:rsid w:val="0097220B"/>
    <w:rsid w:val="009726E1"/>
    <w:rsid w:val="00973277"/>
    <w:rsid w:val="009759CE"/>
    <w:rsid w:val="00980926"/>
    <w:rsid w:val="00985A2A"/>
    <w:rsid w:val="00991149"/>
    <w:rsid w:val="00994842"/>
    <w:rsid w:val="0099672F"/>
    <w:rsid w:val="009A0624"/>
    <w:rsid w:val="009A6096"/>
    <w:rsid w:val="009B65C7"/>
    <w:rsid w:val="009C42DC"/>
    <w:rsid w:val="009D1994"/>
    <w:rsid w:val="009D21D9"/>
    <w:rsid w:val="009E30A0"/>
    <w:rsid w:val="009F24E6"/>
    <w:rsid w:val="009F4B17"/>
    <w:rsid w:val="00A03360"/>
    <w:rsid w:val="00A04BEC"/>
    <w:rsid w:val="00A04D81"/>
    <w:rsid w:val="00A17D98"/>
    <w:rsid w:val="00A2796B"/>
    <w:rsid w:val="00A27E22"/>
    <w:rsid w:val="00A35472"/>
    <w:rsid w:val="00A361E7"/>
    <w:rsid w:val="00A379F8"/>
    <w:rsid w:val="00A43677"/>
    <w:rsid w:val="00A45E99"/>
    <w:rsid w:val="00A478A0"/>
    <w:rsid w:val="00A53148"/>
    <w:rsid w:val="00A5348E"/>
    <w:rsid w:val="00A563AE"/>
    <w:rsid w:val="00A60454"/>
    <w:rsid w:val="00A62823"/>
    <w:rsid w:val="00A641A8"/>
    <w:rsid w:val="00A64606"/>
    <w:rsid w:val="00A740F0"/>
    <w:rsid w:val="00A81423"/>
    <w:rsid w:val="00A84258"/>
    <w:rsid w:val="00A84BEC"/>
    <w:rsid w:val="00A84BF0"/>
    <w:rsid w:val="00A85BB6"/>
    <w:rsid w:val="00A86641"/>
    <w:rsid w:val="00A942B1"/>
    <w:rsid w:val="00AA015D"/>
    <w:rsid w:val="00AA3C88"/>
    <w:rsid w:val="00AA690F"/>
    <w:rsid w:val="00AB6016"/>
    <w:rsid w:val="00AB629B"/>
    <w:rsid w:val="00AB7974"/>
    <w:rsid w:val="00AC3CC8"/>
    <w:rsid w:val="00AD77B0"/>
    <w:rsid w:val="00AD78B0"/>
    <w:rsid w:val="00AE3B31"/>
    <w:rsid w:val="00AE6722"/>
    <w:rsid w:val="00AE678F"/>
    <w:rsid w:val="00AF5449"/>
    <w:rsid w:val="00AF57AB"/>
    <w:rsid w:val="00B002CD"/>
    <w:rsid w:val="00B12409"/>
    <w:rsid w:val="00B227FA"/>
    <w:rsid w:val="00B2356B"/>
    <w:rsid w:val="00B262C1"/>
    <w:rsid w:val="00B35DD8"/>
    <w:rsid w:val="00B479EE"/>
    <w:rsid w:val="00B826DA"/>
    <w:rsid w:val="00B85EE8"/>
    <w:rsid w:val="00B87FA9"/>
    <w:rsid w:val="00B92B2A"/>
    <w:rsid w:val="00B95AA5"/>
    <w:rsid w:val="00BA236D"/>
    <w:rsid w:val="00BA42D6"/>
    <w:rsid w:val="00BA4BD0"/>
    <w:rsid w:val="00BA527A"/>
    <w:rsid w:val="00BB1E0D"/>
    <w:rsid w:val="00BC36B9"/>
    <w:rsid w:val="00BD11FD"/>
    <w:rsid w:val="00BD3C43"/>
    <w:rsid w:val="00BD5545"/>
    <w:rsid w:val="00BE08AC"/>
    <w:rsid w:val="00BE2947"/>
    <w:rsid w:val="00BE42A6"/>
    <w:rsid w:val="00BF04A0"/>
    <w:rsid w:val="00BF0F77"/>
    <w:rsid w:val="00BF2CA4"/>
    <w:rsid w:val="00BF5CBD"/>
    <w:rsid w:val="00C02391"/>
    <w:rsid w:val="00C03741"/>
    <w:rsid w:val="00C03F99"/>
    <w:rsid w:val="00C0711B"/>
    <w:rsid w:val="00C07C6B"/>
    <w:rsid w:val="00C167FF"/>
    <w:rsid w:val="00C36C47"/>
    <w:rsid w:val="00C43C7E"/>
    <w:rsid w:val="00C43F8C"/>
    <w:rsid w:val="00C44C0C"/>
    <w:rsid w:val="00C46AA4"/>
    <w:rsid w:val="00C529A8"/>
    <w:rsid w:val="00C5636D"/>
    <w:rsid w:val="00C5730D"/>
    <w:rsid w:val="00C57994"/>
    <w:rsid w:val="00C63871"/>
    <w:rsid w:val="00C64982"/>
    <w:rsid w:val="00C80827"/>
    <w:rsid w:val="00C8097D"/>
    <w:rsid w:val="00C83E4B"/>
    <w:rsid w:val="00C87D43"/>
    <w:rsid w:val="00C909A2"/>
    <w:rsid w:val="00CA01B5"/>
    <w:rsid w:val="00CC77BE"/>
    <w:rsid w:val="00CD0D16"/>
    <w:rsid w:val="00CE1033"/>
    <w:rsid w:val="00CE13C6"/>
    <w:rsid w:val="00CE2A3B"/>
    <w:rsid w:val="00CE36E4"/>
    <w:rsid w:val="00CE7198"/>
    <w:rsid w:val="00CF4501"/>
    <w:rsid w:val="00CF722E"/>
    <w:rsid w:val="00D0156A"/>
    <w:rsid w:val="00D0682C"/>
    <w:rsid w:val="00D1208C"/>
    <w:rsid w:val="00D30DD8"/>
    <w:rsid w:val="00D3403C"/>
    <w:rsid w:val="00D4384D"/>
    <w:rsid w:val="00D473E7"/>
    <w:rsid w:val="00D5000A"/>
    <w:rsid w:val="00D60751"/>
    <w:rsid w:val="00D62850"/>
    <w:rsid w:val="00D66841"/>
    <w:rsid w:val="00D731B5"/>
    <w:rsid w:val="00D76CDE"/>
    <w:rsid w:val="00D8179B"/>
    <w:rsid w:val="00D97B06"/>
    <w:rsid w:val="00DB1CE4"/>
    <w:rsid w:val="00DB2989"/>
    <w:rsid w:val="00DB3884"/>
    <w:rsid w:val="00DB5CC8"/>
    <w:rsid w:val="00DC3491"/>
    <w:rsid w:val="00DD6888"/>
    <w:rsid w:val="00DE35FC"/>
    <w:rsid w:val="00DF212C"/>
    <w:rsid w:val="00DF3F03"/>
    <w:rsid w:val="00E07EC3"/>
    <w:rsid w:val="00E10247"/>
    <w:rsid w:val="00E11BFB"/>
    <w:rsid w:val="00E22385"/>
    <w:rsid w:val="00E26608"/>
    <w:rsid w:val="00E31234"/>
    <w:rsid w:val="00E35D21"/>
    <w:rsid w:val="00E37D92"/>
    <w:rsid w:val="00E420ED"/>
    <w:rsid w:val="00E54F23"/>
    <w:rsid w:val="00E65EB4"/>
    <w:rsid w:val="00E71B96"/>
    <w:rsid w:val="00E74B5C"/>
    <w:rsid w:val="00E87292"/>
    <w:rsid w:val="00E9566B"/>
    <w:rsid w:val="00E96393"/>
    <w:rsid w:val="00EA1D47"/>
    <w:rsid w:val="00EA5779"/>
    <w:rsid w:val="00EA7468"/>
    <w:rsid w:val="00EB5EA1"/>
    <w:rsid w:val="00EB6004"/>
    <w:rsid w:val="00EC2C3E"/>
    <w:rsid w:val="00EC3A1F"/>
    <w:rsid w:val="00ED2F2C"/>
    <w:rsid w:val="00ED4C19"/>
    <w:rsid w:val="00EE06A3"/>
    <w:rsid w:val="00EE7061"/>
    <w:rsid w:val="00EF794F"/>
    <w:rsid w:val="00F06EAC"/>
    <w:rsid w:val="00F10BB6"/>
    <w:rsid w:val="00F113FA"/>
    <w:rsid w:val="00F150EA"/>
    <w:rsid w:val="00F27DBF"/>
    <w:rsid w:val="00F3100C"/>
    <w:rsid w:val="00F3329C"/>
    <w:rsid w:val="00F34585"/>
    <w:rsid w:val="00F400ED"/>
    <w:rsid w:val="00F644DE"/>
    <w:rsid w:val="00F83B30"/>
    <w:rsid w:val="00F8766B"/>
    <w:rsid w:val="00F94550"/>
    <w:rsid w:val="00F964DA"/>
    <w:rsid w:val="00FA5274"/>
    <w:rsid w:val="00FB1455"/>
    <w:rsid w:val="00FB1BEE"/>
    <w:rsid w:val="00FB3B44"/>
    <w:rsid w:val="00FB4E2B"/>
    <w:rsid w:val="00FF3AB3"/>
    <w:rsid w:val="00FF58E3"/>
    <w:rsid w:val="00FF7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393"/>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6393"/>
  </w:style>
  <w:style w:type="paragraph" w:styleId="BlockText">
    <w:name w:val="Block Text"/>
    <w:basedOn w:val="Normal"/>
    <w:rsid w:val="00E96393"/>
    <w:pPr>
      <w:tabs>
        <w:tab w:val="left" w:pos="648"/>
        <w:tab w:val="left" w:pos="1980"/>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s>
      <w:ind w:left="1980" w:right="648" w:hanging="612"/>
    </w:pPr>
    <w:rPr>
      <w:sz w:val="24"/>
    </w:rPr>
  </w:style>
  <w:style w:type="paragraph" w:styleId="Header">
    <w:name w:val="header"/>
    <w:basedOn w:val="Normal"/>
    <w:rsid w:val="00E96393"/>
    <w:pPr>
      <w:tabs>
        <w:tab w:val="center" w:pos="4320"/>
        <w:tab w:val="right" w:pos="8640"/>
      </w:tabs>
    </w:pPr>
  </w:style>
  <w:style w:type="paragraph" w:styleId="Footer">
    <w:name w:val="footer"/>
    <w:basedOn w:val="Normal"/>
    <w:rsid w:val="00E96393"/>
    <w:pPr>
      <w:tabs>
        <w:tab w:val="center" w:pos="4320"/>
        <w:tab w:val="right" w:pos="8640"/>
      </w:tabs>
    </w:pPr>
  </w:style>
  <w:style w:type="paragraph" w:styleId="NormalWeb">
    <w:name w:val="Normal (Web)"/>
    <w:basedOn w:val="Normal"/>
    <w:uiPriority w:val="99"/>
    <w:rsid w:val="00432F9E"/>
    <w:pPr>
      <w:widowControl/>
      <w:autoSpaceDE/>
      <w:autoSpaceDN/>
      <w:adjustRightInd/>
      <w:spacing w:before="100" w:beforeAutospacing="1" w:after="100" w:afterAutospacing="1"/>
    </w:pPr>
    <w:rPr>
      <w:rFonts w:ascii="Times New Roman" w:hAnsi="Times New Roman"/>
      <w:color w:val="000000"/>
      <w:sz w:val="24"/>
    </w:rPr>
  </w:style>
  <w:style w:type="character" w:styleId="Hyperlink">
    <w:name w:val="Hyperlink"/>
    <w:basedOn w:val="DefaultParagraphFont"/>
    <w:rsid w:val="00A64606"/>
    <w:rPr>
      <w:color w:val="0000FF"/>
      <w:u w:val="single"/>
    </w:rPr>
  </w:style>
  <w:style w:type="character" w:styleId="FollowedHyperlink">
    <w:name w:val="FollowedHyperlink"/>
    <w:basedOn w:val="DefaultParagraphFont"/>
    <w:rsid w:val="00A64606"/>
    <w:rPr>
      <w:color w:val="800080"/>
      <w:u w:val="single"/>
    </w:rPr>
  </w:style>
  <w:style w:type="paragraph" w:styleId="BalloonText">
    <w:name w:val="Balloon Text"/>
    <w:basedOn w:val="Normal"/>
    <w:semiHidden/>
    <w:rsid w:val="00662F21"/>
    <w:rPr>
      <w:rFonts w:ascii="Tahoma" w:hAnsi="Tahoma" w:cs="Tahoma"/>
      <w:sz w:val="16"/>
      <w:szCs w:val="16"/>
    </w:rPr>
  </w:style>
  <w:style w:type="character" w:styleId="CommentReference">
    <w:name w:val="annotation reference"/>
    <w:basedOn w:val="DefaultParagraphFont"/>
    <w:semiHidden/>
    <w:rsid w:val="00A53148"/>
    <w:rPr>
      <w:sz w:val="16"/>
      <w:szCs w:val="16"/>
    </w:rPr>
  </w:style>
  <w:style w:type="paragraph" w:styleId="CommentText">
    <w:name w:val="annotation text"/>
    <w:basedOn w:val="Normal"/>
    <w:semiHidden/>
    <w:rsid w:val="00A53148"/>
    <w:rPr>
      <w:szCs w:val="20"/>
    </w:rPr>
  </w:style>
  <w:style w:type="paragraph" w:styleId="CommentSubject">
    <w:name w:val="annotation subject"/>
    <w:basedOn w:val="CommentText"/>
    <w:next w:val="CommentText"/>
    <w:semiHidden/>
    <w:rsid w:val="00A53148"/>
    <w:rPr>
      <w:b/>
      <w:bCs/>
    </w:rPr>
  </w:style>
  <w:style w:type="paragraph" w:styleId="ListParagraph">
    <w:name w:val="List Paragraph"/>
    <w:basedOn w:val="Normal"/>
    <w:uiPriority w:val="34"/>
    <w:qFormat/>
    <w:rsid w:val="002C6FEC"/>
    <w:pPr>
      <w:ind w:left="720"/>
    </w:pPr>
  </w:style>
  <w:style w:type="paragraph" w:customStyle="1" w:styleId="Default">
    <w:name w:val="Default"/>
    <w:rsid w:val="0069564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596877">
      <w:bodyDiv w:val="1"/>
      <w:marLeft w:val="0"/>
      <w:marRight w:val="0"/>
      <w:marTop w:val="0"/>
      <w:marBottom w:val="0"/>
      <w:divBdr>
        <w:top w:val="none" w:sz="0" w:space="0" w:color="auto"/>
        <w:left w:val="none" w:sz="0" w:space="0" w:color="auto"/>
        <w:bottom w:val="none" w:sz="0" w:space="0" w:color="auto"/>
        <w:right w:val="none" w:sz="0" w:space="0" w:color="auto"/>
      </w:divBdr>
    </w:div>
    <w:div w:id="57478458">
      <w:bodyDiv w:val="1"/>
      <w:marLeft w:val="0"/>
      <w:marRight w:val="0"/>
      <w:marTop w:val="0"/>
      <w:marBottom w:val="0"/>
      <w:divBdr>
        <w:top w:val="none" w:sz="0" w:space="0" w:color="auto"/>
        <w:left w:val="none" w:sz="0" w:space="0" w:color="auto"/>
        <w:bottom w:val="none" w:sz="0" w:space="0" w:color="auto"/>
        <w:right w:val="none" w:sz="0" w:space="0" w:color="auto"/>
      </w:divBdr>
    </w:div>
    <w:div w:id="77334449">
      <w:bodyDiv w:val="1"/>
      <w:marLeft w:val="0"/>
      <w:marRight w:val="0"/>
      <w:marTop w:val="0"/>
      <w:marBottom w:val="0"/>
      <w:divBdr>
        <w:top w:val="none" w:sz="0" w:space="0" w:color="auto"/>
        <w:left w:val="none" w:sz="0" w:space="0" w:color="auto"/>
        <w:bottom w:val="none" w:sz="0" w:space="0" w:color="auto"/>
        <w:right w:val="none" w:sz="0" w:space="0" w:color="auto"/>
      </w:divBdr>
    </w:div>
    <w:div w:id="80956544">
      <w:bodyDiv w:val="1"/>
      <w:marLeft w:val="0"/>
      <w:marRight w:val="0"/>
      <w:marTop w:val="0"/>
      <w:marBottom w:val="0"/>
      <w:divBdr>
        <w:top w:val="none" w:sz="0" w:space="0" w:color="auto"/>
        <w:left w:val="none" w:sz="0" w:space="0" w:color="auto"/>
        <w:bottom w:val="none" w:sz="0" w:space="0" w:color="auto"/>
        <w:right w:val="none" w:sz="0" w:space="0" w:color="auto"/>
      </w:divBdr>
    </w:div>
    <w:div w:id="154802362">
      <w:bodyDiv w:val="1"/>
      <w:marLeft w:val="0"/>
      <w:marRight w:val="0"/>
      <w:marTop w:val="0"/>
      <w:marBottom w:val="0"/>
      <w:divBdr>
        <w:top w:val="none" w:sz="0" w:space="0" w:color="auto"/>
        <w:left w:val="none" w:sz="0" w:space="0" w:color="auto"/>
        <w:bottom w:val="none" w:sz="0" w:space="0" w:color="auto"/>
        <w:right w:val="none" w:sz="0" w:space="0" w:color="auto"/>
      </w:divBdr>
    </w:div>
    <w:div w:id="166600656">
      <w:bodyDiv w:val="1"/>
      <w:marLeft w:val="0"/>
      <w:marRight w:val="0"/>
      <w:marTop w:val="0"/>
      <w:marBottom w:val="0"/>
      <w:divBdr>
        <w:top w:val="none" w:sz="0" w:space="0" w:color="auto"/>
        <w:left w:val="none" w:sz="0" w:space="0" w:color="auto"/>
        <w:bottom w:val="none" w:sz="0" w:space="0" w:color="auto"/>
        <w:right w:val="none" w:sz="0" w:space="0" w:color="auto"/>
      </w:divBdr>
    </w:div>
    <w:div w:id="217323625">
      <w:bodyDiv w:val="1"/>
      <w:marLeft w:val="0"/>
      <w:marRight w:val="0"/>
      <w:marTop w:val="0"/>
      <w:marBottom w:val="0"/>
      <w:divBdr>
        <w:top w:val="none" w:sz="0" w:space="0" w:color="auto"/>
        <w:left w:val="none" w:sz="0" w:space="0" w:color="auto"/>
        <w:bottom w:val="none" w:sz="0" w:space="0" w:color="auto"/>
        <w:right w:val="none" w:sz="0" w:space="0" w:color="auto"/>
      </w:divBdr>
    </w:div>
    <w:div w:id="225186190">
      <w:bodyDiv w:val="1"/>
      <w:marLeft w:val="0"/>
      <w:marRight w:val="0"/>
      <w:marTop w:val="0"/>
      <w:marBottom w:val="0"/>
      <w:divBdr>
        <w:top w:val="none" w:sz="0" w:space="0" w:color="auto"/>
        <w:left w:val="none" w:sz="0" w:space="0" w:color="auto"/>
        <w:bottom w:val="none" w:sz="0" w:space="0" w:color="auto"/>
        <w:right w:val="none" w:sz="0" w:space="0" w:color="auto"/>
      </w:divBdr>
    </w:div>
    <w:div w:id="274219609">
      <w:bodyDiv w:val="1"/>
      <w:marLeft w:val="0"/>
      <w:marRight w:val="0"/>
      <w:marTop w:val="0"/>
      <w:marBottom w:val="0"/>
      <w:divBdr>
        <w:top w:val="none" w:sz="0" w:space="0" w:color="auto"/>
        <w:left w:val="none" w:sz="0" w:space="0" w:color="auto"/>
        <w:bottom w:val="none" w:sz="0" w:space="0" w:color="auto"/>
        <w:right w:val="none" w:sz="0" w:space="0" w:color="auto"/>
      </w:divBdr>
    </w:div>
    <w:div w:id="274989238">
      <w:bodyDiv w:val="1"/>
      <w:marLeft w:val="0"/>
      <w:marRight w:val="0"/>
      <w:marTop w:val="0"/>
      <w:marBottom w:val="0"/>
      <w:divBdr>
        <w:top w:val="none" w:sz="0" w:space="0" w:color="auto"/>
        <w:left w:val="none" w:sz="0" w:space="0" w:color="auto"/>
        <w:bottom w:val="none" w:sz="0" w:space="0" w:color="auto"/>
        <w:right w:val="none" w:sz="0" w:space="0" w:color="auto"/>
      </w:divBdr>
    </w:div>
    <w:div w:id="295071092">
      <w:bodyDiv w:val="1"/>
      <w:marLeft w:val="0"/>
      <w:marRight w:val="0"/>
      <w:marTop w:val="0"/>
      <w:marBottom w:val="0"/>
      <w:divBdr>
        <w:top w:val="none" w:sz="0" w:space="0" w:color="auto"/>
        <w:left w:val="none" w:sz="0" w:space="0" w:color="auto"/>
        <w:bottom w:val="none" w:sz="0" w:space="0" w:color="auto"/>
        <w:right w:val="none" w:sz="0" w:space="0" w:color="auto"/>
      </w:divBdr>
    </w:div>
    <w:div w:id="308442242">
      <w:bodyDiv w:val="1"/>
      <w:marLeft w:val="0"/>
      <w:marRight w:val="0"/>
      <w:marTop w:val="0"/>
      <w:marBottom w:val="0"/>
      <w:divBdr>
        <w:top w:val="none" w:sz="0" w:space="0" w:color="auto"/>
        <w:left w:val="none" w:sz="0" w:space="0" w:color="auto"/>
        <w:bottom w:val="none" w:sz="0" w:space="0" w:color="auto"/>
        <w:right w:val="none" w:sz="0" w:space="0" w:color="auto"/>
      </w:divBdr>
    </w:div>
    <w:div w:id="358505517">
      <w:bodyDiv w:val="1"/>
      <w:marLeft w:val="0"/>
      <w:marRight w:val="0"/>
      <w:marTop w:val="0"/>
      <w:marBottom w:val="0"/>
      <w:divBdr>
        <w:top w:val="none" w:sz="0" w:space="0" w:color="auto"/>
        <w:left w:val="none" w:sz="0" w:space="0" w:color="auto"/>
        <w:bottom w:val="none" w:sz="0" w:space="0" w:color="auto"/>
        <w:right w:val="none" w:sz="0" w:space="0" w:color="auto"/>
      </w:divBdr>
    </w:div>
    <w:div w:id="367414123">
      <w:bodyDiv w:val="1"/>
      <w:marLeft w:val="0"/>
      <w:marRight w:val="0"/>
      <w:marTop w:val="0"/>
      <w:marBottom w:val="0"/>
      <w:divBdr>
        <w:top w:val="none" w:sz="0" w:space="0" w:color="auto"/>
        <w:left w:val="none" w:sz="0" w:space="0" w:color="auto"/>
        <w:bottom w:val="none" w:sz="0" w:space="0" w:color="auto"/>
        <w:right w:val="none" w:sz="0" w:space="0" w:color="auto"/>
      </w:divBdr>
    </w:div>
    <w:div w:id="425661178">
      <w:bodyDiv w:val="1"/>
      <w:marLeft w:val="0"/>
      <w:marRight w:val="0"/>
      <w:marTop w:val="0"/>
      <w:marBottom w:val="0"/>
      <w:divBdr>
        <w:top w:val="none" w:sz="0" w:space="0" w:color="auto"/>
        <w:left w:val="none" w:sz="0" w:space="0" w:color="auto"/>
        <w:bottom w:val="none" w:sz="0" w:space="0" w:color="auto"/>
        <w:right w:val="none" w:sz="0" w:space="0" w:color="auto"/>
      </w:divBdr>
    </w:div>
    <w:div w:id="430709122">
      <w:bodyDiv w:val="1"/>
      <w:marLeft w:val="0"/>
      <w:marRight w:val="0"/>
      <w:marTop w:val="0"/>
      <w:marBottom w:val="0"/>
      <w:divBdr>
        <w:top w:val="none" w:sz="0" w:space="0" w:color="auto"/>
        <w:left w:val="none" w:sz="0" w:space="0" w:color="auto"/>
        <w:bottom w:val="none" w:sz="0" w:space="0" w:color="auto"/>
        <w:right w:val="none" w:sz="0" w:space="0" w:color="auto"/>
      </w:divBdr>
    </w:div>
    <w:div w:id="447164286">
      <w:bodyDiv w:val="1"/>
      <w:marLeft w:val="0"/>
      <w:marRight w:val="0"/>
      <w:marTop w:val="0"/>
      <w:marBottom w:val="0"/>
      <w:divBdr>
        <w:top w:val="none" w:sz="0" w:space="0" w:color="auto"/>
        <w:left w:val="none" w:sz="0" w:space="0" w:color="auto"/>
        <w:bottom w:val="none" w:sz="0" w:space="0" w:color="auto"/>
        <w:right w:val="none" w:sz="0" w:space="0" w:color="auto"/>
      </w:divBdr>
    </w:div>
    <w:div w:id="456608901">
      <w:bodyDiv w:val="1"/>
      <w:marLeft w:val="0"/>
      <w:marRight w:val="0"/>
      <w:marTop w:val="0"/>
      <w:marBottom w:val="0"/>
      <w:divBdr>
        <w:top w:val="none" w:sz="0" w:space="0" w:color="auto"/>
        <w:left w:val="none" w:sz="0" w:space="0" w:color="auto"/>
        <w:bottom w:val="none" w:sz="0" w:space="0" w:color="auto"/>
        <w:right w:val="none" w:sz="0" w:space="0" w:color="auto"/>
      </w:divBdr>
    </w:div>
    <w:div w:id="482506631">
      <w:bodyDiv w:val="1"/>
      <w:marLeft w:val="0"/>
      <w:marRight w:val="0"/>
      <w:marTop w:val="0"/>
      <w:marBottom w:val="0"/>
      <w:divBdr>
        <w:top w:val="none" w:sz="0" w:space="0" w:color="auto"/>
        <w:left w:val="none" w:sz="0" w:space="0" w:color="auto"/>
        <w:bottom w:val="none" w:sz="0" w:space="0" w:color="auto"/>
        <w:right w:val="none" w:sz="0" w:space="0" w:color="auto"/>
      </w:divBdr>
    </w:div>
    <w:div w:id="550767974">
      <w:bodyDiv w:val="1"/>
      <w:marLeft w:val="0"/>
      <w:marRight w:val="0"/>
      <w:marTop w:val="0"/>
      <w:marBottom w:val="0"/>
      <w:divBdr>
        <w:top w:val="none" w:sz="0" w:space="0" w:color="auto"/>
        <w:left w:val="none" w:sz="0" w:space="0" w:color="auto"/>
        <w:bottom w:val="none" w:sz="0" w:space="0" w:color="auto"/>
        <w:right w:val="none" w:sz="0" w:space="0" w:color="auto"/>
      </w:divBdr>
    </w:div>
    <w:div w:id="566915741">
      <w:bodyDiv w:val="1"/>
      <w:marLeft w:val="0"/>
      <w:marRight w:val="0"/>
      <w:marTop w:val="0"/>
      <w:marBottom w:val="0"/>
      <w:divBdr>
        <w:top w:val="none" w:sz="0" w:space="0" w:color="auto"/>
        <w:left w:val="none" w:sz="0" w:space="0" w:color="auto"/>
        <w:bottom w:val="none" w:sz="0" w:space="0" w:color="auto"/>
        <w:right w:val="none" w:sz="0" w:space="0" w:color="auto"/>
      </w:divBdr>
    </w:div>
    <w:div w:id="576400513">
      <w:bodyDiv w:val="1"/>
      <w:marLeft w:val="0"/>
      <w:marRight w:val="0"/>
      <w:marTop w:val="0"/>
      <w:marBottom w:val="0"/>
      <w:divBdr>
        <w:top w:val="none" w:sz="0" w:space="0" w:color="auto"/>
        <w:left w:val="none" w:sz="0" w:space="0" w:color="auto"/>
        <w:bottom w:val="none" w:sz="0" w:space="0" w:color="auto"/>
        <w:right w:val="none" w:sz="0" w:space="0" w:color="auto"/>
      </w:divBdr>
    </w:div>
    <w:div w:id="604534461">
      <w:bodyDiv w:val="1"/>
      <w:marLeft w:val="0"/>
      <w:marRight w:val="0"/>
      <w:marTop w:val="0"/>
      <w:marBottom w:val="0"/>
      <w:divBdr>
        <w:top w:val="none" w:sz="0" w:space="0" w:color="auto"/>
        <w:left w:val="none" w:sz="0" w:space="0" w:color="auto"/>
        <w:bottom w:val="none" w:sz="0" w:space="0" w:color="auto"/>
        <w:right w:val="none" w:sz="0" w:space="0" w:color="auto"/>
      </w:divBdr>
    </w:div>
    <w:div w:id="615868932">
      <w:bodyDiv w:val="1"/>
      <w:marLeft w:val="0"/>
      <w:marRight w:val="0"/>
      <w:marTop w:val="0"/>
      <w:marBottom w:val="0"/>
      <w:divBdr>
        <w:top w:val="none" w:sz="0" w:space="0" w:color="auto"/>
        <w:left w:val="none" w:sz="0" w:space="0" w:color="auto"/>
        <w:bottom w:val="none" w:sz="0" w:space="0" w:color="auto"/>
        <w:right w:val="none" w:sz="0" w:space="0" w:color="auto"/>
      </w:divBdr>
    </w:div>
    <w:div w:id="628827215">
      <w:bodyDiv w:val="1"/>
      <w:marLeft w:val="0"/>
      <w:marRight w:val="0"/>
      <w:marTop w:val="0"/>
      <w:marBottom w:val="0"/>
      <w:divBdr>
        <w:top w:val="none" w:sz="0" w:space="0" w:color="auto"/>
        <w:left w:val="none" w:sz="0" w:space="0" w:color="auto"/>
        <w:bottom w:val="none" w:sz="0" w:space="0" w:color="auto"/>
        <w:right w:val="none" w:sz="0" w:space="0" w:color="auto"/>
      </w:divBdr>
    </w:div>
    <w:div w:id="639652039">
      <w:bodyDiv w:val="1"/>
      <w:marLeft w:val="0"/>
      <w:marRight w:val="0"/>
      <w:marTop w:val="0"/>
      <w:marBottom w:val="0"/>
      <w:divBdr>
        <w:top w:val="none" w:sz="0" w:space="0" w:color="auto"/>
        <w:left w:val="none" w:sz="0" w:space="0" w:color="auto"/>
        <w:bottom w:val="none" w:sz="0" w:space="0" w:color="auto"/>
        <w:right w:val="none" w:sz="0" w:space="0" w:color="auto"/>
      </w:divBdr>
    </w:div>
    <w:div w:id="641351892">
      <w:bodyDiv w:val="1"/>
      <w:marLeft w:val="0"/>
      <w:marRight w:val="0"/>
      <w:marTop w:val="0"/>
      <w:marBottom w:val="0"/>
      <w:divBdr>
        <w:top w:val="none" w:sz="0" w:space="0" w:color="auto"/>
        <w:left w:val="none" w:sz="0" w:space="0" w:color="auto"/>
        <w:bottom w:val="none" w:sz="0" w:space="0" w:color="auto"/>
        <w:right w:val="none" w:sz="0" w:space="0" w:color="auto"/>
      </w:divBdr>
    </w:div>
    <w:div w:id="647326528">
      <w:bodyDiv w:val="1"/>
      <w:marLeft w:val="0"/>
      <w:marRight w:val="0"/>
      <w:marTop w:val="0"/>
      <w:marBottom w:val="0"/>
      <w:divBdr>
        <w:top w:val="none" w:sz="0" w:space="0" w:color="auto"/>
        <w:left w:val="none" w:sz="0" w:space="0" w:color="auto"/>
        <w:bottom w:val="none" w:sz="0" w:space="0" w:color="auto"/>
        <w:right w:val="none" w:sz="0" w:space="0" w:color="auto"/>
      </w:divBdr>
    </w:div>
    <w:div w:id="648022099">
      <w:bodyDiv w:val="1"/>
      <w:marLeft w:val="0"/>
      <w:marRight w:val="0"/>
      <w:marTop w:val="0"/>
      <w:marBottom w:val="0"/>
      <w:divBdr>
        <w:top w:val="none" w:sz="0" w:space="0" w:color="auto"/>
        <w:left w:val="none" w:sz="0" w:space="0" w:color="auto"/>
        <w:bottom w:val="none" w:sz="0" w:space="0" w:color="auto"/>
        <w:right w:val="none" w:sz="0" w:space="0" w:color="auto"/>
      </w:divBdr>
    </w:div>
    <w:div w:id="652681963">
      <w:bodyDiv w:val="1"/>
      <w:marLeft w:val="0"/>
      <w:marRight w:val="0"/>
      <w:marTop w:val="0"/>
      <w:marBottom w:val="0"/>
      <w:divBdr>
        <w:top w:val="none" w:sz="0" w:space="0" w:color="auto"/>
        <w:left w:val="none" w:sz="0" w:space="0" w:color="auto"/>
        <w:bottom w:val="none" w:sz="0" w:space="0" w:color="auto"/>
        <w:right w:val="none" w:sz="0" w:space="0" w:color="auto"/>
      </w:divBdr>
    </w:div>
    <w:div w:id="685255985">
      <w:bodyDiv w:val="1"/>
      <w:marLeft w:val="0"/>
      <w:marRight w:val="0"/>
      <w:marTop w:val="0"/>
      <w:marBottom w:val="0"/>
      <w:divBdr>
        <w:top w:val="none" w:sz="0" w:space="0" w:color="auto"/>
        <w:left w:val="none" w:sz="0" w:space="0" w:color="auto"/>
        <w:bottom w:val="none" w:sz="0" w:space="0" w:color="auto"/>
        <w:right w:val="none" w:sz="0" w:space="0" w:color="auto"/>
      </w:divBdr>
    </w:div>
    <w:div w:id="724258660">
      <w:bodyDiv w:val="1"/>
      <w:marLeft w:val="0"/>
      <w:marRight w:val="0"/>
      <w:marTop w:val="0"/>
      <w:marBottom w:val="0"/>
      <w:divBdr>
        <w:top w:val="none" w:sz="0" w:space="0" w:color="auto"/>
        <w:left w:val="none" w:sz="0" w:space="0" w:color="auto"/>
        <w:bottom w:val="none" w:sz="0" w:space="0" w:color="auto"/>
        <w:right w:val="none" w:sz="0" w:space="0" w:color="auto"/>
      </w:divBdr>
    </w:div>
    <w:div w:id="741148385">
      <w:bodyDiv w:val="1"/>
      <w:marLeft w:val="0"/>
      <w:marRight w:val="0"/>
      <w:marTop w:val="0"/>
      <w:marBottom w:val="0"/>
      <w:divBdr>
        <w:top w:val="none" w:sz="0" w:space="0" w:color="auto"/>
        <w:left w:val="none" w:sz="0" w:space="0" w:color="auto"/>
        <w:bottom w:val="none" w:sz="0" w:space="0" w:color="auto"/>
        <w:right w:val="none" w:sz="0" w:space="0" w:color="auto"/>
      </w:divBdr>
    </w:div>
    <w:div w:id="748846700">
      <w:bodyDiv w:val="1"/>
      <w:marLeft w:val="0"/>
      <w:marRight w:val="0"/>
      <w:marTop w:val="0"/>
      <w:marBottom w:val="0"/>
      <w:divBdr>
        <w:top w:val="none" w:sz="0" w:space="0" w:color="auto"/>
        <w:left w:val="none" w:sz="0" w:space="0" w:color="auto"/>
        <w:bottom w:val="none" w:sz="0" w:space="0" w:color="auto"/>
        <w:right w:val="none" w:sz="0" w:space="0" w:color="auto"/>
      </w:divBdr>
    </w:div>
    <w:div w:id="769544088">
      <w:bodyDiv w:val="1"/>
      <w:marLeft w:val="0"/>
      <w:marRight w:val="0"/>
      <w:marTop w:val="0"/>
      <w:marBottom w:val="0"/>
      <w:divBdr>
        <w:top w:val="none" w:sz="0" w:space="0" w:color="auto"/>
        <w:left w:val="none" w:sz="0" w:space="0" w:color="auto"/>
        <w:bottom w:val="none" w:sz="0" w:space="0" w:color="auto"/>
        <w:right w:val="none" w:sz="0" w:space="0" w:color="auto"/>
      </w:divBdr>
    </w:div>
    <w:div w:id="771900453">
      <w:bodyDiv w:val="1"/>
      <w:marLeft w:val="0"/>
      <w:marRight w:val="0"/>
      <w:marTop w:val="0"/>
      <w:marBottom w:val="0"/>
      <w:divBdr>
        <w:top w:val="none" w:sz="0" w:space="0" w:color="auto"/>
        <w:left w:val="none" w:sz="0" w:space="0" w:color="auto"/>
        <w:bottom w:val="none" w:sz="0" w:space="0" w:color="auto"/>
        <w:right w:val="none" w:sz="0" w:space="0" w:color="auto"/>
      </w:divBdr>
    </w:div>
    <w:div w:id="819728992">
      <w:bodyDiv w:val="1"/>
      <w:marLeft w:val="0"/>
      <w:marRight w:val="0"/>
      <w:marTop w:val="0"/>
      <w:marBottom w:val="0"/>
      <w:divBdr>
        <w:top w:val="none" w:sz="0" w:space="0" w:color="auto"/>
        <w:left w:val="none" w:sz="0" w:space="0" w:color="auto"/>
        <w:bottom w:val="none" w:sz="0" w:space="0" w:color="auto"/>
        <w:right w:val="none" w:sz="0" w:space="0" w:color="auto"/>
      </w:divBdr>
    </w:div>
    <w:div w:id="829057344">
      <w:bodyDiv w:val="1"/>
      <w:marLeft w:val="0"/>
      <w:marRight w:val="0"/>
      <w:marTop w:val="0"/>
      <w:marBottom w:val="0"/>
      <w:divBdr>
        <w:top w:val="none" w:sz="0" w:space="0" w:color="auto"/>
        <w:left w:val="none" w:sz="0" w:space="0" w:color="auto"/>
        <w:bottom w:val="none" w:sz="0" w:space="0" w:color="auto"/>
        <w:right w:val="none" w:sz="0" w:space="0" w:color="auto"/>
      </w:divBdr>
    </w:div>
    <w:div w:id="847256414">
      <w:bodyDiv w:val="1"/>
      <w:marLeft w:val="0"/>
      <w:marRight w:val="0"/>
      <w:marTop w:val="0"/>
      <w:marBottom w:val="0"/>
      <w:divBdr>
        <w:top w:val="none" w:sz="0" w:space="0" w:color="auto"/>
        <w:left w:val="none" w:sz="0" w:space="0" w:color="auto"/>
        <w:bottom w:val="none" w:sz="0" w:space="0" w:color="auto"/>
        <w:right w:val="none" w:sz="0" w:space="0" w:color="auto"/>
      </w:divBdr>
    </w:div>
    <w:div w:id="897941069">
      <w:bodyDiv w:val="1"/>
      <w:marLeft w:val="0"/>
      <w:marRight w:val="0"/>
      <w:marTop w:val="0"/>
      <w:marBottom w:val="0"/>
      <w:divBdr>
        <w:top w:val="none" w:sz="0" w:space="0" w:color="auto"/>
        <w:left w:val="none" w:sz="0" w:space="0" w:color="auto"/>
        <w:bottom w:val="none" w:sz="0" w:space="0" w:color="auto"/>
        <w:right w:val="none" w:sz="0" w:space="0" w:color="auto"/>
      </w:divBdr>
    </w:div>
    <w:div w:id="908467712">
      <w:bodyDiv w:val="1"/>
      <w:marLeft w:val="0"/>
      <w:marRight w:val="0"/>
      <w:marTop w:val="0"/>
      <w:marBottom w:val="0"/>
      <w:divBdr>
        <w:top w:val="none" w:sz="0" w:space="0" w:color="auto"/>
        <w:left w:val="none" w:sz="0" w:space="0" w:color="auto"/>
        <w:bottom w:val="none" w:sz="0" w:space="0" w:color="auto"/>
        <w:right w:val="none" w:sz="0" w:space="0" w:color="auto"/>
      </w:divBdr>
    </w:div>
    <w:div w:id="932084368">
      <w:bodyDiv w:val="1"/>
      <w:marLeft w:val="0"/>
      <w:marRight w:val="0"/>
      <w:marTop w:val="0"/>
      <w:marBottom w:val="0"/>
      <w:divBdr>
        <w:top w:val="none" w:sz="0" w:space="0" w:color="auto"/>
        <w:left w:val="none" w:sz="0" w:space="0" w:color="auto"/>
        <w:bottom w:val="none" w:sz="0" w:space="0" w:color="auto"/>
        <w:right w:val="none" w:sz="0" w:space="0" w:color="auto"/>
      </w:divBdr>
    </w:div>
    <w:div w:id="937519643">
      <w:bodyDiv w:val="1"/>
      <w:marLeft w:val="0"/>
      <w:marRight w:val="0"/>
      <w:marTop w:val="0"/>
      <w:marBottom w:val="0"/>
      <w:divBdr>
        <w:top w:val="none" w:sz="0" w:space="0" w:color="auto"/>
        <w:left w:val="none" w:sz="0" w:space="0" w:color="auto"/>
        <w:bottom w:val="none" w:sz="0" w:space="0" w:color="auto"/>
        <w:right w:val="none" w:sz="0" w:space="0" w:color="auto"/>
      </w:divBdr>
    </w:div>
    <w:div w:id="980184930">
      <w:bodyDiv w:val="1"/>
      <w:marLeft w:val="0"/>
      <w:marRight w:val="0"/>
      <w:marTop w:val="0"/>
      <w:marBottom w:val="0"/>
      <w:divBdr>
        <w:top w:val="none" w:sz="0" w:space="0" w:color="auto"/>
        <w:left w:val="none" w:sz="0" w:space="0" w:color="auto"/>
        <w:bottom w:val="none" w:sz="0" w:space="0" w:color="auto"/>
        <w:right w:val="none" w:sz="0" w:space="0" w:color="auto"/>
      </w:divBdr>
    </w:div>
    <w:div w:id="1130443783">
      <w:bodyDiv w:val="1"/>
      <w:marLeft w:val="0"/>
      <w:marRight w:val="0"/>
      <w:marTop w:val="0"/>
      <w:marBottom w:val="0"/>
      <w:divBdr>
        <w:top w:val="none" w:sz="0" w:space="0" w:color="auto"/>
        <w:left w:val="none" w:sz="0" w:space="0" w:color="auto"/>
        <w:bottom w:val="none" w:sz="0" w:space="0" w:color="auto"/>
        <w:right w:val="none" w:sz="0" w:space="0" w:color="auto"/>
      </w:divBdr>
    </w:div>
    <w:div w:id="1171141706">
      <w:bodyDiv w:val="1"/>
      <w:marLeft w:val="0"/>
      <w:marRight w:val="0"/>
      <w:marTop w:val="0"/>
      <w:marBottom w:val="0"/>
      <w:divBdr>
        <w:top w:val="none" w:sz="0" w:space="0" w:color="auto"/>
        <w:left w:val="none" w:sz="0" w:space="0" w:color="auto"/>
        <w:bottom w:val="none" w:sz="0" w:space="0" w:color="auto"/>
        <w:right w:val="none" w:sz="0" w:space="0" w:color="auto"/>
      </w:divBdr>
    </w:div>
    <w:div w:id="1201236322">
      <w:bodyDiv w:val="1"/>
      <w:marLeft w:val="0"/>
      <w:marRight w:val="0"/>
      <w:marTop w:val="0"/>
      <w:marBottom w:val="0"/>
      <w:divBdr>
        <w:top w:val="none" w:sz="0" w:space="0" w:color="auto"/>
        <w:left w:val="none" w:sz="0" w:space="0" w:color="auto"/>
        <w:bottom w:val="none" w:sz="0" w:space="0" w:color="auto"/>
        <w:right w:val="none" w:sz="0" w:space="0" w:color="auto"/>
      </w:divBdr>
    </w:div>
    <w:div w:id="1225019436">
      <w:bodyDiv w:val="1"/>
      <w:marLeft w:val="0"/>
      <w:marRight w:val="0"/>
      <w:marTop w:val="0"/>
      <w:marBottom w:val="0"/>
      <w:divBdr>
        <w:top w:val="none" w:sz="0" w:space="0" w:color="auto"/>
        <w:left w:val="none" w:sz="0" w:space="0" w:color="auto"/>
        <w:bottom w:val="none" w:sz="0" w:space="0" w:color="auto"/>
        <w:right w:val="none" w:sz="0" w:space="0" w:color="auto"/>
      </w:divBdr>
    </w:div>
    <w:div w:id="1393038458">
      <w:bodyDiv w:val="1"/>
      <w:marLeft w:val="0"/>
      <w:marRight w:val="0"/>
      <w:marTop w:val="0"/>
      <w:marBottom w:val="0"/>
      <w:divBdr>
        <w:top w:val="none" w:sz="0" w:space="0" w:color="auto"/>
        <w:left w:val="none" w:sz="0" w:space="0" w:color="auto"/>
        <w:bottom w:val="none" w:sz="0" w:space="0" w:color="auto"/>
        <w:right w:val="none" w:sz="0" w:space="0" w:color="auto"/>
      </w:divBdr>
    </w:div>
    <w:div w:id="1396780942">
      <w:bodyDiv w:val="1"/>
      <w:marLeft w:val="0"/>
      <w:marRight w:val="0"/>
      <w:marTop w:val="0"/>
      <w:marBottom w:val="0"/>
      <w:divBdr>
        <w:top w:val="none" w:sz="0" w:space="0" w:color="auto"/>
        <w:left w:val="none" w:sz="0" w:space="0" w:color="auto"/>
        <w:bottom w:val="none" w:sz="0" w:space="0" w:color="auto"/>
        <w:right w:val="none" w:sz="0" w:space="0" w:color="auto"/>
      </w:divBdr>
    </w:div>
    <w:div w:id="1425686875">
      <w:bodyDiv w:val="1"/>
      <w:marLeft w:val="0"/>
      <w:marRight w:val="0"/>
      <w:marTop w:val="0"/>
      <w:marBottom w:val="0"/>
      <w:divBdr>
        <w:top w:val="none" w:sz="0" w:space="0" w:color="auto"/>
        <w:left w:val="none" w:sz="0" w:space="0" w:color="auto"/>
        <w:bottom w:val="none" w:sz="0" w:space="0" w:color="auto"/>
        <w:right w:val="none" w:sz="0" w:space="0" w:color="auto"/>
      </w:divBdr>
    </w:div>
    <w:div w:id="1436051425">
      <w:bodyDiv w:val="1"/>
      <w:marLeft w:val="0"/>
      <w:marRight w:val="0"/>
      <w:marTop w:val="0"/>
      <w:marBottom w:val="0"/>
      <w:divBdr>
        <w:top w:val="none" w:sz="0" w:space="0" w:color="auto"/>
        <w:left w:val="none" w:sz="0" w:space="0" w:color="auto"/>
        <w:bottom w:val="none" w:sz="0" w:space="0" w:color="auto"/>
        <w:right w:val="none" w:sz="0" w:space="0" w:color="auto"/>
      </w:divBdr>
    </w:div>
    <w:div w:id="1452281887">
      <w:bodyDiv w:val="1"/>
      <w:marLeft w:val="0"/>
      <w:marRight w:val="0"/>
      <w:marTop w:val="0"/>
      <w:marBottom w:val="0"/>
      <w:divBdr>
        <w:top w:val="none" w:sz="0" w:space="0" w:color="auto"/>
        <w:left w:val="none" w:sz="0" w:space="0" w:color="auto"/>
        <w:bottom w:val="none" w:sz="0" w:space="0" w:color="auto"/>
        <w:right w:val="none" w:sz="0" w:space="0" w:color="auto"/>
      </w:divBdr>
    </w:div>
    <w:div w:id="1465467026">
      <w:bodyDiv w:val="1"/>
      <w:marLeft w:val="0"/>
      <w:marRight w:val="0"/>
      <w:marTop w:val="0"/>
      <w:marBottom w:val="0"/>
      <w:divBdr>
        <w:top w:val="none" w:sz="0" w:space="0" w:color="auto"/>
        <w:left w:val="none" w:sz="0" w:space="0" w:color="auto"/>
        <w:bottom w:val="none" w:sz="0" w:space="0" w:color="auto"/>
        <w:right w:val="none" w:sz="0" w:space="0" w:color="auto"/>
      </w:divBdr>
    </w:div>
    <w:div w:id="1472750269">
      <w:bodyDiv w:val="1"/>
      <w:marLeft w:val="0"/>
      <w:marRight w:val="0"/>
      <w:marTop w:val="0"/>
      <w:marBottom w:val="0"/>
      <w:divBdr>
        <w:top w:val="none" w:sz="0" w:space="0" w:color="auto"/>
        <w:left w:val="none" w:sz="0" w:space="0" w:color="auto"/>
        <w:bottom w:val="none" w:sz="0" w:space="0" w:color="auto"/>
        <w:right w:val="none" w:sz="0" w:space="0" w:color="auto"/>
      </w:divBdr>
    </w:div>
    <w:div w:id="1480222374">
      <w:bodyDiv w:val="1"/>
      <w:marLeft w:val="0"/>
      <w:marRight w:val="0"/>
      <w:marTop w:val="0"/>
      <w:marBottom w:val="0"/>
      <w:divBdr>
        <w:top w:val="none" w:sz="0" w:space="0" w:color="auto"/>
        <w:left w:val="none" w:sz="0" w:space="0" w:color="auto"/>
        <w:bottom w:val="none" w:sz="0" w:space="0" w:color="auto"/>
        <w:right w:val="none" w:sz="0" w:space="0" w:color="auto"/>
      </w:divBdr>
    </w:div>
    <w:div w:id="1520242947">
      <w:bodyDiv w:val="1"/>
      <w:marLeft w:val="0"/>
      <w:marRight w:val="0"/>
      <w:marTop w:val="0"/>
      <w:marBottom w:val="0"/>
      <w:divBdr>
        <w:top w:val="none" w:sz="0" w:space="0" w:color="auto"/>
        <w:left w:val="none" w:sz="0" w:space="0" w:color="auto"/>
        <w:bottom w:val="none" w:sz="0" w:space="0" w:color="auto"/>
        <w:right w:val="none" w:sz="0" w:space="0" w:color="auto"/>
      </w:divBdr>
    </w:div>
    <w:div w:id="1539464938">
      <w:bodyDiv w:val="1"/>
      <w:marLeft w:val="0"/>
      <w:marRight w:val="0"/>
      <w:marTop w:val="0"/>
      <w:marBottom w:val="0"/>
      <w:divBdr>
        <w:top w:val="none" w:sz="0" w:space="0" w:color="auto"/>
        <w:left w:val="none" w:sz="0" w:space="0" w:color="auto"/>
        <w:bottom w:val="none" w:sz="0" w:space="0" w:color="auto"/>
        <w:right w:val="none" w:sz="0" w:space="0" w:color="auto"/>
      </w:divBdr>
    </w:div>
    <w:div w:id="1552813313">
      <w:bodyDiv w:val="1"/>
      <w:marLeft w:val="0"/>
      <w:marRight w:val="0"/>
      <w:marTop w:val="0"/>
      <w:marBottom w:val="0"/>
      <w:divBdr>
        <w:top w:val="none" w:sz="0" w:space="0" w:color="auto"/>
        <w:left w:val="none" w:sz="0" w:space="0" w:color="auto"/>
        <w:bottom w:val="none" w:sz="0" w:space="0" w:color="auto"/>
        <w:right w:val="none" w:sz="0" w:space="0" w:color="auto"/>
      </w:divBdr>
    </w:div>
    <w:div w:id="1555314914">
      <w:bodyDiv w:val="1"/>
      <w:marLeft w:val="0"/>
      <w:marRight w:val="0"/>
      <w:marTop w:val="0"/>
      <w:marBottom w:val="0"/>
      <w:divBdr>
        <w:top w:val="none" w:sz="0" w:space="0" w:color="auto"/>
        <w:left w:val="none" w:sz="0" w:space="0" w:color="auto"/>
        <w:bottom w:val="none" w:sz="0" w:space="0" w:color="auto"/>
        <w:right w:val="none" w:sz="0" w:space="0" w:color="auto"/>
      </w:divBdr>
    </w:div>
    <w:div w:id="1588734476">
      <w:bodyDiv w:val="1"/>
      <w:marLeft w:val="0"/>
      <w:marRight w:val="0"/>
      <w:marTop w:val="0"/>
      <w:marBottom w:val="0"/>
      <w:divBdr>
        <w:top w:val="none" w:sz="0" w:space="0" w:color="auto"/>
        <w:left w:val="none" w:sz="0" w:space="0" w:color="auto"/>
        <w:bottom w:val="none" w:sz="0" w:space="0" w:color="auto"/>
        <w:right w:val="none" w:sz="0" w:space="0" w:color="auto"/>
      </w:divBdr>
    </w:div>
    <w:div w:id="1634097817">
      <w:bodyDiv w:val="1"/>
      <w:marLeft w:val="0"/>
      <w:marRight w:val="0"/>
      <w:marTop w:val="0"/>
      <w:marBottom w:val="0"/>
      <w:divBdr>
        <w:top w:val="none" w:sz="0" w:space="0" w:color="auto"/>
        <w:left w:val="none" w:sz="0" w:space="0" w:color="auto"/>
        <w:bottom w:val="none" w:sz="0" w:space="0" w:color="auto"/>
        <w:right w:val="none" w:sz="0" w:space="0" w:color="auto"/>
      </w:divBdr>
    </w:div>
    <w:div w:id="1670672445">
      <w:bodyDiv w:val="1"/>
      <w:marLeft w:val="0"/>
      <w:marRight w:val="0"/>
      <w:marTop w:val="0"/>
      <w:marBottom w:val="0"/>
      <w:divBdr>
        <w:top w:val="none" w:sz="0" w:space="0" w:color="auto"/>
        <w:left w:val="none" w:sz="0" w:space="0" w:color="auto"/>
        <w:bottom w:val="none" w:sz="0" w:space="0" w:color="auto"/>
        <w:right w:val="none" w:sz="0" w:space="0" w:color="auto"/>
      </w:divBdr>
    </w:div>
    <w:div w:id="1689521244">
      <w:bodyDiv w:val="1"/>
      <w:marLeft w:val="0"/>
      <w:marRight w:val="0"/>
      <w:marTop w:val="0"/>
      <w:marBottom w:val="0"/>
      <w:divBdr>
        <w:top w:val="none" w:sz="0" w:space="0" w:color="auto"/>
        <w:left w:val="none" w:sz="0" w:space="0" w:color="auto"/>
        <w:bottom w:val="none" w:sz="0" w:space="0" w:color="auto"/>
        <w:right w:val="none" w:sz="0" w:space="0" w:color="auto"/>
      </w:divBdr>
    </w:div>
    <w:div w:id="1693534694">
      <w:bodyDiv w:val="1"/>
      <w:marLeft w:val="0"/>
      <w:marRight w:val="0"/>
      <w:marTop w:val="0"/>
      <w:marBottom w:val="0"/>
      <w:divBdr>
        <w:top w:val="none" w:sz="0" w:space="0" w:color="auto"/>
        <w:left w:val="none" w:sz="0" w:space="0" w:color="auto"/>
        <w:bottom w:val="none" w:sz="0" w:space="0" w:color="auto"/>
        <w:right w:val="none" w:sz="0" w:space="0" w:color="auto"/>
      </w:divBdr>
    </w:div>
    <w:div w:id="1704748217">
      <w:bodyDiv w:val="1"/>
      <w:marLeft w:val="0"/>
      <w:marRight w:val="0"/>
      <w:marTop w:val="0"/>
      <w:marBottom w:val="0"/>
      <w:divBdr>
        <w:top w:val="none" w:sz="0" w:space="0" w:color="auto"/>
        <w:left w:val="none" w:sz="0" w:space="0" w:color="auto"/>
        <w:bottom w:val="none" w:sz="0" w:space="0" w:color="auto"/>
        <w:right w:val="none" w:sz="0" w:space="0" w:color="auto"/>
      </w:divBdr>
    </w:div>
    <w:div w:id="1738672076">
      <w:bodyDiv w:val="1"/>
      <w:marLeft w:val="0"/>
      <w:marRight w:val="0"/>
      <w:marTop w:val="0"/>
      <w:marBottom w:val="0"/>
      <w:divBdr>
        <w:top w:val="none" w:sz="0" w:space="0" w:color="auto"/>
        <w:left w:val="none" w:sz="0" w:space="0" w:color="auto"/>
        <w:bottom w:val="none" w:sz="0" w:space="0" w:color="auto"/>
        <w:right w:val="none" w:sz="0" w:space="0" w:color="auto"/>
      </w:divBdr>
    </w:div>
    <w:div w:id="1742367548">
      <w:bodyDiv w:val="1"/>
      <w:marLeft w:val="0"/>
      <w:marRight w:val="0"/>
      <w:marTop w:val="0"/>
      <w:marBottom w:val="0"/>
      <w:divBdr>
        <w:top w:val="none" w:sz="0" w:space="0" w:color="auto"/>
        <w:left w:val="none" w:sz="0" w:space="0" w:color="auto"/>
        <w:bottom w:val="none" w:sz="0" w:space="0" w:color="auto"/>
        <w:right w:val="none" w:sz="0" w:space="0" w:color="auto"/>
      </w:divBdr>
    </w:div>
    <w:div w:id="1797262122">
      <w:bodyDiv w:val="1"/>
      <w:marLeft w:val="0"/>
      <w:marRight w:val="0"/>
      <w:marTop w:val="0"/>
      <w:marBottom w:val="0"/>
      <w:divBdr>
        <w:top w:val="none" w:sz="0" w:space="0" w:color="auto"/>
        <w:left w:val="none" w:sz="0" w:space="0" w:color="auto"/>
        <w:bottom w:val="none" w:sz="0" w:space="0" w:color="auto"/>
        <w:right w:val="none" w:sz="0" w:space="0" w:color="auto"/>
      </w:divBdr>
    </w:div>
    <w:div w:id="1817911203">
      <w:bodyDiv w:val="1"/>
      <w:marLeft w:val="0"/>
      <w:marRight w:val="0"/>
      <w:marTop w:val="0"/>
      <w:marBottom w:val="0"/>
      <w:divBdr>
        <w:top w:val="none" w:sz="0" w:space="0" w:color="auto"/>
        <w:left w:val="none" w:sz="0" w:space="0" w:color="auto"/>
        <w:bottom w:val="none" w:sz="0" w:space="0" w:color="auto"/>
        <w:right w:val="none" w:sz="0" w:space="0" w:color="auto"/>
      </w:divBdr>
    </w:div>
    <w:div w:id="1836415862">
      <w:bodyDiv w:val="1"/>
      <w:marLeft w:val="0"/>
      <w:marRight w:val="0"/>
      <w:marTop w:val="0"/>
      <w:marBottom w:val="0"/>
      <w:divBdr>
        <w:top w:val="none" w:sz="0" w:space="0" w:color="auto"/>
        <w:left w:val="none" w:sz="0" w:space="0" w:color="auto"/>
        <w:bottom w:val="none" w:sz="0" w:space="0" w:color="auto"/>
        <w:right w:val="none" w:sz="0" w:space="0" w:color="auto"/>
      </w:divBdr>
    </w:div>
    <w:div w:id="1886868115">
      <w:bodyDiv w:val="1"/>
      <w:marLeft w:val="0"/>
      <w:marRight w:val="0"/>
      <w:marTop w:val="0"/>
      <w:marBottom w:val="0"/>
      <w:divBdr>
        <w:top w:val="none" w:sz="0" w:space="0" w:color="auto"/>
        <w:left w:val="none" w:sz="0" w:space="0" w:color="auto"/>
        <w:bottom w:val="none" w:sz="0" w:space="0" w:color="auto"/>
        <w:right w:val="none" w:sz="0" w:space="0" w:color="auto"/>
      </w:divBdr>
    </w:div>
    <w:div w:id="1956207300">
      <w:bodyDiv w:val="1"/>
      <w:marLeft w:val="0"/>
      <w:marRight w:val="0"/>
      <w:marTop w:val="0"/>
      <w:marBottom w:val="0"/>
      <w:divBdr>
        <w:top w:val="none" w:sz="0" w:space="0" w:color="auto"/>
        <w:left w:val="none" w:sz="0" w:space="0" w:color="auto"/>
        <w:bottom w:val="none" w:sz="0" w:space="0" w:color="auto"/>
        <w:right w:val="none" w:sz="0" w:space="0" w:color="auto"/>
      </w:divBdr>
    </w:div>
    <w:div w:id="1988124585">
      <w:bodyDiv w:val="1"/>
      <w:marLeft w:val="0"/>
      <w:marRight w:val="0"/>
      <w:marTop w:val="0"/>
      <w:marBottom w:val="0"/>
      <w:divBdr>
        <w:top w:val="none" w:sz="0" w:space="0" w:color="auto"/>
        <w:left w:val="none" w:sz="0" w:space="0" w:color="auto"/>
        <w:bottom w:val="none" w:sz="0" w:space="0" w:color="auto"/>
        <w:right w:val="none" w:sz="0" w:space="0" w:color="auto"/>
      </w:divBdr>
    </w:div>
    <w:div w:id="2010938541">
      <w:bodyDiv w:val="1"/>
      <w:marLeft w:val="0"/>
      <w:marRight w:val="0"/>
      <w:marTop w:val="0"/>
      <w:marBottom w:val="0"/>
      <w:divBdr>
        <w:top w:val="none" w:sz="0" w:space="0" w:color="auto"/>
        <w:left w:val="none" w:sz="0" w:space="0" w:color="auto"/>
        <w:bottom w:val="none" w:sz="0" w:space="0" w:color="auto"/>
        <w:right w:val="none" w:sz="0" w:space="0" w:color="auto"/>
      </w:divBdr>
    </w:div>
    <w:div w:id="2046059179">
      <w:bodyDiv w:val="1"/>
      <w:marLeft w:val="0"/>
      <w:marRight w:val="0"/>
      <w:marTop w:val="0"/>
      <w:marBottom w:val="0"/>
      <w:divBdr>
        <w:top w:val="none" w:sz="0" w:space="0" w:color="auto"/>
        <w:left w:val="none" w:sz="0" w:space="0" w:color="auto"/>
        <w:bottom w:val="none" w:sz="0" w:space="0" w:color="auto"/>
        <w:right w:val="none" w:sz="0" w:space="0" w:color="auto"/>
      </w:divBdr>
    </w:div>
    <w:div w:id="2060855914">
      <w:bodyDiv w:val="1"/>
      <w:marLeft w:val="0"/>
      <w:marRight w:val="0"/>
      <w:marTop w:val="0"/>
      <w:marBottom w:val="0"/>
      <w:divBdr>
        <w:top w:val="none" w:sz="0" w:space="0" w:color="auto"/>
        <w:left w:val="none" w:sz="0" w:space="0" w:color="auto"/>
        <w:bottom w:val="none" w:sz="0" w:space="0" w:color="auto"/>
        <w:right w:val="none" w:sz="0" w:space="0" w:color="auto"/>
      </w:divBdr>
    </w:div>
    <w:div w:id="2078242426">
      <w:bodyDiv w:val="1"/>
      <w:marLeft w:val="0"/>
      <w:marRight w:val="0"/>
      <w:marTop w:val="0"/>
      <w:marBottom w:val="0"/>
      <w:divBdr>
        <w:top w:val="none" w:sz="0" w:space="0" w:color="auto"/>
        <w:left w:val="none" w:sz="0" w:space="0" w:color="auto"/>
        <w:bottom w:val="none" w:sz="0" w:space="0" w:color="auto"/>
        <w:right w:val="none" w:sz="0" w:space="0" w:color="auto"/>
      </w:divBdr>
    </w:div>
    <w:div w:id="2080974431">
      <w:bodyDiv w:val="1"/>
      <w:marLeft w:val="0"/>
      <w:marRight w:val="0"/>
      <w:marTop w:val="0"/>
      <w:marBottom w:val="0"/>
      <w:divBdr>
        <w:top w:val="none" w:sz="0" w:space="0" w:color="auto"/>
        <w:left w:val="none" w:sz="0" w:space="0" w:color="auto"/>
        <w:bottom w:val="none" w:sz="0" w:space="0" w:color="auto"/>
        <w:right w:val="none" w:sz="0" w:space="0" w:color="auto"/>
      </w:divBdr>
    </w:div>
    <w:div w:id="2099978802">
      <w:bodyDiv w:val="1"/>
      <w:marLeft w:val="0"/>
      <w:marRight w:val="0"/>
      <w:marTop w:val="0"/>
      <w:marBottom w:val="0"/>
      <w:divBdr>
        <w:top w:val="none" w:sz="0" w:space="0" w:color="auto"/>
        <w:left w:val="none" w:sz="0" w:space="0" w:color="auto"/>
        <w:bottom w:val="none" w:sz="0" w:space="0" w:color="auto"/>
        <w:right w:val="none" w:sz="0" w:space="0" w:color="auto"/>
      </w:divBdr>
    </w:div>
    <w:div w:id="21471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meec0\Local%20Settings\Temporary%20Internet%20Files\Content.Outlook\P6TUZZHR\BPM%20template%20-%20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BPM template - OT.dotx</Template>
  <TotalTime>802</TotalTime>
  <Pages>7</Pages>
  <Words>2374</Words>
  <Characters>12785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 K BUSINESS PROCEDURES</vt:lpstr>
    </vt:vector>
  </TitlesOfParts>
  <Company>University of Kentucky</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K BUSINESS PROCEDURES</dc:title>
  <dc:creator>Chris Meece</dc:creator>
  <cp:lastModifiedBy>jamile1</cp:lastModifiedBy>
  <cp:revision>8</cp:revision>
  <cp:lastPrinted>2012-05-25T13:41:00Z</cp:lastPrinted>
  <dcterms:created xsi:type="dcterms:W3CDTF">2012-01-25T16:03:00Z</dcterms:created>
  <dcterms:modified xsi:type="dcterms:W3CDTF">2012-05-25T13:46:00Z</dcterms:modified>
</cp:coreProperties>
</file>