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63" w:rsidRPr="00A02563" w:rsidRDefault="00A02563" w:rsidP="00A02563">
      <w:pPr>
        <w:rPr>
          <w:rFonts w:asciiTheme="minorHAnsi" w:eastAsia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A02563">
        <w:rPr>
          <w:rFonts w:asciiTheme="minorHAnsi" w:eastAsiaTheme="minorHAnsi" w:hAnsiTheme="minorHAnsi" w:cstheme="minorHAnsi"/>
          <w:b/>
          <w:sz w:val="22"/>
          <w:szCs w:val="22"/>
        </w:rPr>
        <w:t>UK Core Education Committee (UKCEC)</w:t>
      </w:r>
    </w:p>
    <w:p w:rsidR="00A02563" w:rsidRPr="00A02563" w:rsidRDefault="00A02563" w:rsidP="00A02563">
      <w:pPr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t>January 13, 2014</w:t>
      </w:r>
    </w:p>
    <w:p w:rsidR="00A02563" w:rsidRPr="00A02563" w:rsidRDefault="00A02563" w:rsidP="00A02563">
      <w:pPr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t>245 POT</w:t>
      </w:r>
      <w:r w:rsidRPr="00A02563">
        <w:rPr>
          <w:rFonts w:asciiTheme="minorHAnsi" w:eastAsia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>3</w:t>
      </w:r>
      <w:r w:rsidRPr="00A02563">
        <w:rPr>
          <w:rFonts w:asciiTheme="minorHAnsi" w:eastAsiaTheme="minorHAnsi" w:hAnsiTheme="minorHAnsi" w:cstheme="minorHAnsi"/>
          <w:b/>
          <w:sz w:val="22"/>
          <w:szCs w:val="22"/>
        </w:rPr>
        <w:t>:00-4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>:30</w:t>
      </w:r>
      <w:r w:rsidRPr="00A02563">
        <w:rPr>
          <w:rFonts w:asciiTheme="minorHAnsi" w:eastAsiaTheme="minorHAnsi" w:hAnsiTheme="minorHAnsi" w:cstheme="minorHAnsi"/>
          <w:b/>
          <w:sz w:val="22"/>
          <w:szCs w:val="22"/>
        </w:rPr>
        <w:t xml:space="preserve"> pm</w:t>
      </w:r>
    </w:p>
    <w:p w:rsidR="00C16E59" w:rsidRDefault="00C16E59">
      <w:pPr>
        <w:rPr>
          <w:rFonts w:asciiTheme="minorHAnsi" w:hAnsiTheme="minorHAnsi"/>
        </w:rPr>
      </w:pPr>
    </w:p>
    <w:p w:rsidR="00A02563" w:rsidRPr="00115D28" w:rsidRDefault="00A02563">
      <w:pPr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212"/>
        <w:gridCol w:w="2212"/>
        <w:gridCol w:w="2212"/>
      </w:tblGrid>
      <w:tr w:rsidR="00A02563" w:rsidRPr="00A02563" w:rsidTr="00A02563">
        <w:trPr>
          <w:jc w:val="center"/>
        </w:trPr>
        <w:tc>
          <w:tcPr>
            <w:tcW w:w="2266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02563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Members Present:</w:t>
            </w:r>
          </w:p>
        </w:tc>
        <w:tc>
          <w:tcPr>
            <w:tcW w:w="2212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12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02563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Ex Officios Present:</w:t>
            </w:r>
          </w:p>
        </w:tc>
        <w:tc>
          <w:tcPr>
            <w:tcW w:w="2212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02563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Guests Present:</w:t>
            </w:r>
          </w:p>
        </w:tc>
      </w:tr>
      <w:tr w:rsidR="00A02563" w:rsidRPr="00A02563" w:rsidTr="00A02563">
        <w:trPr>
          <w:jc w:val="center"/>
        </w:trPr>
        <w:tc>
          <w:tcPr>
            <w:tcW w:w="2266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02563">
              <w:rPr>
                <w:rFonts w:asciiTheme="minorHAnsi" w:eastAsiaTheme="minorHAnsi" w:hAnsiTheme="minorHAnsi" w:cstheme="minorHAnsi"/>
                <w:sz w:val="20"/>
                <w:szCs w:val="20"/>
              </w:rPr>
              <w:t>Jonathan Allison</w:t>
            </w:r>
          </w:p>
        </w:tc>
        <w:tc>
          <w:tcPr>
            <w:tcW w:w="2212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02563">
              <w:rPr>
                <w:rFonts w:asciiTheme="minorHAnsi" w:eastAsiaTheme="minorHAnsi" w:hAnsiTheme="minorHAnsi" w:cstheme="minorHAnsi"/>
                <w:sz w:val="20"/>
                <w:szCs w:val="20"/>
              </w:rPr>
              <w:t>Amy Gaffney</w:t>
            </w:r>
          </w:p>
        </w:tc>
        <w:tc>
          <w:tcPr>
            <w:tcW w:w="2212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02563">
              <w:rPr>
                <w:rFonts w:asciiTheme="minorHAnsi" w:eastAsiaTheme="minorHAnsi" w:hAnsiTheme="minorHAnsi" w:cstheme="minorHAnsi"/>
                <w:sz w:val="20"/>
                <w:szCs w:val="20"/>
              </w:rPr>
              <w:t>Mike Shanks</w:t>
            </w:r>
          </w:p>
        </w:tc>
        <w:tc>
          <w:tcPr>
            <w:tcW w:w="2212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02563">
              <w:rPr>
                <w:rFonts w:asciiTheme="minorHAnsi" w:eastAsiaTheme="minorHAnsi" w:hAnsiTheme="minorHAnsi" w:cstheme="minorHAnsi"/>
                <w:sz w:val="20"/>
                <w:szCs w:val="20"/>
              </w:rPr>
              <w:t>Chris Thuringer</w:t>
            </w:r>
          </w:p>
        </w:tc>
      </w:tr>
      <w:tr w:rsidR="00A02563" w:rsidRPr="00A02563" w:rsidTr="00A02563">
        <w:trPr>
          <w:jc w:val="center"/>
        </w:trPr>
        <w:tc>
          <w:tcPr>
            <w:tcW w:w="2266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02563">
              <w:rPr>
                <w:rFonts w:asciiTheme="minorHAnsi" w:eastAsiaTheme="minorHAnsi" w:hAnsiTheme="minorHAnsi" w:cstheme="minorHAnsi"/>
                <w:sz w:val="20"/>
                <w:szCs w:val="20"/>
              </w:rPr>
              <w:t>Ruth Beattie</w:t>
            </w:r>
          </w:p>
        </w:tc>
        <w:tc>
          <w:tcPr>
            <w:tcW w:w="2212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02563">
              <w:rPr>
                <w:rFonts w:asciiTheme="minorHAnsi" w:eastAsiaTheme="minorHAnsi" w:hAnsiTheme="minorHAnsi" w:cstheme="minorHAnsi"/>
                <w:sz w:val="20"/>
                <w:szCs w:val="20"/>
              </w:rPr>
              <w:t>Juliana McDonald</w:t>
            </w:r>
          </w:p>
        </w:tc>
        <w:tc>
          <w:tcPr>
            <w:tcW w:w="2212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02563">
              <w:rPr>
                <w:rFonts w:asciiTheme="minorHAnsi" w:eastAsiaTheme="minorHAnsi" w:hAnsiTheme="minorHAnsi" w:cstheme="minorHAnsi"/>
                <w:sz w:val="20"/>
                <w:szCs w:val="20"/>
              </w:rPr>
              <w:t>Debbie Sharp</w:t>
            </w:r>
          </w:p>
        </w:tc>
        <w:tc>
          <w:tcPr>
            <w:tcW w:w="2212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02563" w:rsidRPr="00A02563" w:rsidTr="00A02563">
        <w:trPr>
          <w:jc w:val="center"/>
        </w:trPr>
        <w:tc>
          <w:tcPr>
            <w:tcW w:w="2266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02563">
              <w:rPr>
                <w:rFonts w:asciiTheme="minorHAnsi" w:eastAsiaTheme="minorHAnsi" w:hAnsiTheme="minorHAnsi" w:cstheme="minorHAnsi"/>
                <w:sz w:val="20"/>
                <w:szCs w:val="20"/>
              </w:rPr>
              <w:t>Russell Brown</w:t>
            </w:r>
          </w:p>
        </w:tc>
        <w:tc>
          <w:tcPr>
            <w:tcW w:w="2212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02563">
              <w:rPr>
                <w:rFonts w:asciiTheme="minorHAnsi" w:eastAsiaTheme="minorHAnsi" w:hAnsiTheme="minorHAnsi" w:cstheme="minorHAnsi"/>
                <w:sz w:val="20"/>
                <w:szCs w:val="20"/>
              </w:rPr>
              <w:t>Brian McNely</w:t>
            </w:r>
          </w:p>
        </w:tc>
        <w:tc>
          <w:tcPr>
            <w:tcW w:w="2212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02563" w:rsidRPr="00A02563" w:rsidTr="00A02563">
        <w:trPr>
          <w:jc w:val="center"/>
        </w:trPr>
        <w:tc>
          <w:tcPr>
            <w:tcW w:w="2266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Tracy Campbell</w:t>
            </w:r>
          </w:p>
        </w:tc>
        <w:tc>
          <w:tcPr>
            <w:tcW w:w="2212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02563">
              <w:rPr>
                <w:rFonts w:asciiTheme="minorHAnsi" w:eastAsiaTheme="minorHAnsi" w:hAnsiTheme="minorHAnsi" w:cstheme="minorHAnsi"/>
                <w:sz w:val="20"/>
                <w:szCs w:val="20"/>
              </w:rPr>
              <w:t>Ben Withers (chair)</w:t>
            </w:r>
          </w:p>
        </w:tc>
        <w:tc>
          <w:tcPr>
            <w:tcW w:w="2212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02563" w:rsidRPr="00A02563" w:rsidTr="00A02563">
        <w:trPr>
          <w:jc w:val="center"/>
        </w:trPr>
        <w:tc>
          <w:tcPr>
            <w:tcW w:w="2266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A02563" w:rsidRPr="00A02563" w:rsidRDefault="00A02563" w:rsidP="00A02563">
            <w:pPr>
              <w:tabs>
                <w:tab w:val="left" w:pos="360"/>
              </w:tabs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:rsidR="00516C1D" w:rsidRDefault="00516C1D" w:rsidP="00E94079">
      <w:pPr>
        <w:rPr>
          <w:rFonts w:asciiTheme="minorHAnsi" w:hAnsiTheme="minorHAnsi" w:cs="Arial"/>
          <w:sz w:val="22"/>
        </w:rPr>
      </w:pPr>
    </w:p>
    <w:p w:rsidR="00516C1D" w:rsidRPr="00115D28" w:rsidRDefault="00516C1D" w:rsidP="00E94079">
      <w:pPr>
        <w:rPr>
          <w:rFonts w:asciiTheme="minorHAnsi" w:hAnsiTheme="minorHAnsi" w:cs="Arial"/>
          <w:sz w:val="22"/>
        </w:rPr>
      </w:pPr>
    </w:p>
    <w:p w:rsidR="00E94079" w:rsidRPr="00A02563" w:rsidRDefault="00E94079" w:rsidP="00C16E59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u w:val="single"/>
        </w:rPr>
      </w:pPr>
      <w:r w:rsidRPr="00A02563">
        <w:rPr>
          <w:rFonts w:asciiTheme="minorHAnsi" w:hAnsiTheme="minorHAnsi" w:cs="Arial"/>
          <w:sz w:val="22"/>
          <w:u w:val="single"/>
        </w:rPr>
        <w:t>Ap</w:t>
      </w:r>
      <w:r w:rsidR="00C4488E" w:rsidRPr="00A02563">
        <w:rPr>
          <w:rFonts w:asciiTheme="minorHAnsi" w:hAnsiTheme="minorHAnsi" w:cs="Arial"/>
          <w:sz w:val="22"/>
          <w:u w:val="single"/>
        </w:rPr>
        <w:t>pr</w:t>
      </w:r>
      <w:r w:rsidR="00151187" w:rsidRPr="00A02563">
        <w:rPr>
          <w:rFonts w:asciiTheme="minorHAnsi" w:hAnsiTheme="minorHAnsi" w:cs="Arial"/>
          <w:sz w:val="22"/>
          <w:u w:val="single"/>
        </w:rPr>
        <w:t>o</w:t>
      </w:r>
      <w:r w:rsidR="00321E11" w:rsidRPr="00A02563">
        <w:rPr>
          <w:rFonts w:asciiTheme="minorHAnsi" w:hAnsiTheme="minorHAnsi" w:cs="Arial"/>
          <w:sz w:val="22"/>
          <w:u w:val="single"/>
        </w:rPr>
        <w:t xml:space="preserve">val of minutes from December </w:t>
      </w:r>
      <w:r w:rsidR="00D60C6F" w:rsidRPr="00A02563">
        <w:rPr>
          <w:rFonts w:asciiTheme="minorHAnsi" w:hAnsiTheme="minorHAnsi" w:cs="Arial"/>
          <w:sz w:val="22"/>
          <w:u w:val="single"/>
        </w:rPr>
        <w:t>16</w:t>
      </w:r>
      <w:r w:rsidRPr="00A02563">
        <w:rPr>
          <w:rFonts w:asciiTheme="minorHAnsi" w:hAnsiTheme="minorHAnsi" w:cs="Arial"/>
          <w:sz w:val="22"/>
          <w:u w:val="single"/>
        </w:rPr>
        <w:t>, 2013 meeting</w:t>
      </w:r>
    </w:p>
    <w:p w:rsidR="00516C1D" w:rsidRPr="00115D28" w:rsidRDefault="00516C1D" w:rsidP="00516C1D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Approved</w:t>
      </w:r>
    </w:p>
    <w:p w:rsidR="00A60B0F" w:rsidRPr="00115D28" w:rsidRDefault="00A60B0F" w:rsidP="00A60B0F">
      <w:pPr>
        <w:pStyle w:val="ListParagraph"/>
        <w:rPr>
          <w:rFonts w:asciiTheme="minorHAnsi" w:hAnsiTheme="minorHAnsi" w:cs="Arial"/>
          <w:sz w:val="22"/>
        </w:rPr>
      </w:pPr>
    </w:p>
    <w:p w:rsidR="00B363DC" w:rsidRDefault="00B363DC" w:rsidP="00321E11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u w:val="single"/>
        </w:rPr>
      </w:pPr>
      <w:r>
        <w:rPr>
          <w:rFonts w:asciiTheme="minorHAnsi" w:hAnsiTheme="minorHAnsi" w:cs="Arial"/>
          <w:sz w:val="22"/>
          <w:u w:val="single"/>
        </w:rPr>
        <w:t>Consent Agenda</w:t>
      </w:r>
    </w:p>
    <w:p w:rsidR="00B363DC" w:rsidRPr="00B363DC" w:rsidRDefault="00B363DC" w:rsidP="00B363DC">
      <w:pPr>
        <w:pStyle w:val="ListParagraph"/>
        <w:rPr>
          <w:rFonts w:asciiTheme="minorHAnsi" w:hAnsiTheme="minorHAnsi" w:cs="Arial"/>
          <w:b/>
          <w:sz w:val="22"/>
        </w:rPr>
      </w:pPr>
      <w:r w:rsidRPr="00B363DC">
        <w:rPr>
          <w:rFonts w:asciiTheme="minorHAnsi" w:hAnsiTheme="minorHAnsi" w:cs="Arial"/>
          <w:b/>
          <w:sz w:val="22"/>
        </w:rPr>
        <w:t>U.S. Citizenship</w:t>
      </w:r>
    </w:p>
    <w:p w:rsidR="00B363DC" w:rsidRDefault="00B363DC" w:rsidP="00B363DC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GEN 100 – Issues in Agriculture, Food and Environment – APPROVED </w:t>
      </w:r>
    </w:p>
    <w:p w:rsidR="00B363DC" w:rsidRPr="00B363DC" w:rsidRDefault="00B363DC" w:rsidP="00B363DC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(This course was a late addition to the agenda, but involved a very minor title change in the course to match the new College name; no other changes to the course were involved)</w:t>
      </w:r>
    </w:p>
    <w:p w:rsidR="00B363DC" w:rsidRDefault="00B363DC" w:rsidP="00B363DC">
      <w:pPr>
        <w:pStyle w:val="ListParagraph"/>
        <w:rPr>
          <w:rFonts w:asciiTheme="minorHAnsi" w:hAnsiTheme="minorHAnsi" w:cs="Arial"/>
          <w:sz w:val="22"/>
          <w:u w:val="single"/>
        </w:rPr>
      </w:pPr>
    </w:p>
    <w:p w:rsidR="00321E11" w:rsidRPr="00A02563" w:rsidRDefault="00D60C6F" w:rsidP="00321E11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u w:val="single"/>
        </w:rPr>
      </w:pPr>
      <w:r w:rsidRPr="00A02563">
        <w:rPr>
          <w:rFonts w:asciiTheme="minorHAnsi" w:hAnsiTheme="minorHAnsi" w:cs="Arial"/>
          <w:sz w:val="22"/>
          <w:u w:val="single"/>
        </w:rPr>
        <w:t>Revised UK Core Exceptions subcommittee document</w:t>
      </w:r>
    </w:p>
    <w:p w:rsidR="00E67DAA" w:rsidRDefault="00994178" w:rsidP="00516C1D">
      <w:pPr>
        <w:ind w:left="72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Approve</w:t>
      </w:r>
      <w:r w:rsidR="00A02563">
        <w:rPr>
          <w:rFonts w:asciiTheme="minorHAnsi" w:hAnsiTheme="minorHAnsi" w:cs="Arial"/>
          <w:sz w:val="22"/>
        </w:rPr>
        <w:t>d pending some minor revisions; Mike will make these changes</w:t>
      </w:r>
      <w:r w:rsidR="002D7403">
        <w:rPr>
          <w:rFonts w:asciiTheme="minorHAnsi" w:hAnsiTheme="minorHAnsi" w:cs="Arial"/>
          <w:sz w:val="22"/>
        </w:rPr>
        <w:t xml:space="preserve"> and distribute the final document to Thuringer and other appropriate individuals. </w:t>
      </w:r>
    </w:p>
    <w:p w:rsidR="00516C1D" w:rsidRPr="00115D28" w:rsidRDefault="00516C1D" w:rsidP="00E67DAA">
      <w:pPr>
        <w:rPr>
          <w:rFonts w:asciiTheme="minorHAnsi" w:hAnsiTheme="minorHAnsi" w:cs="Arial"/>
          <w:sz w:val="22"/>
        </w:rPr>
      </w:pPr>
    </w:p>
    <w:p w:rsidR="00E67DAA" w:rsidRPr="00B363DC" w:rsidRDefault="00E67DAA" w:rsidP="00E67DAA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u w:val="single"/>
        </w:rPr>
      </w:pPr>
      <w:r w:rsidRPr="00B363DC">
        <w:rPr>
          <w:rFonts w:asciiTheme="minorHAnsi" w:hAnsiTheme="minorHAnsi" w:cs="Arial"/>
          <w:sz w:val="22"/>
          <w:u w:val="single"/>
        </w:rPr>
        <w:t>Hono</w:t>
      </w:r>
      <w:r w:rsidR="008704B0" w:rsidRPr="00B363DC">
        <w:rPr>
          <w:rFonts w:asciiTheme="minorHAnsi" w:hAnsiTheme="minorHAnsi" w:cs="Arial"/>
          <w:sz w:val="22"/>
          <w:u w:val="single"/>
        </w:rPr>
        <w:t>rs Program Report</w:t>
      </w:r>
      <w:r w:rsidR="00D60C6F" w:rsidRPr="00B363DC">
        <w:rPr>
          <w:rFonts w:asciiTheme="minorHAnsi" w:hAnsiTheme="minorHAnsi" w:cs="Arial"/>
          <w:sz w:val="22"/>
          <w:u w:val="single"/>
        </w:rPr>
        <w:t xml:space="preserve"> update</w:t>
      </w:r>
    </w:p>
    <w:p w:rsidR="00D60C6F" w:rsidRDefault="00516C1D" w:rsidP="00D60C6F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UKCEC approves a new proces</w:t>
      </w:r>
      <w:r w:rsidR="00B363DC">
        <w:rPr>
          <w:rFonts w:asciiTheme="minorHAnsi" w:hAnsiTheme="minorHAnsi" w:cs="Arial"/>
          <w:sz w:val="22"/>
        </w:rPr>
        <w:t xml:space="preserve">s that replaces the previous request for a cover sheet from the Director </w:t>
      </w:r>
      <w:r>
        <w:rPr>
          <w:rFonts w:asciiTheme="minorHAnsi" w:hAnsiTheme="minorHAnsi" w:cs="Arial"/>
          <w:sz w:val="22"/>
        </w:rPr>
        <w:t>with separate course review forms</w:t>
      </w:r>
      <w:r w:rsidR="00B363DC">
        <w:rPr>
          <w:rFonts w:asciiTheme="minorHAnsi" w:hAnsiTheme="minorHAnsi" w:cs="Arial"/>
          <w:sz w:val="22"/>
        </w:rPr>
        <w:t xml:space="preserve"> for each course being reviewed</w:t>
      </w:r>
      <w:r>
        <w:rPr>
          <w:rFonts w:asciiTheme="minorHAnsi" w:hAnsiTheme="minorHAnsi" w:cs="Arial"/>
          <w:sz w:val="22"/>
        </w:rPr>
        <w:t xml:space="preserve">. Update from Honors Director </w:t>
      </w:r>
      <w:r w:rsidR="00B363DC">
        <w:rPr>
          <w:rFonts w:asciiTheme="minorHAnsi" w:hAnsiTheme="minorHAnsi" w:cs="Arial"/>
          <w:sz w:val="22"/>
        </w:rPr>
        <w:t xml:space="preserve">will be an </w:t>
      </w:r>
      <w:r>
        <w:rPr>
          <w:rFonts w:asciiTheme="minorHAnsi" w:hAnsiTheme="minorHAnsi" w:cs="Arial"/>
          <w:sz w:val="22"/>
        </w:rPr>
        <w:t>April</w:t>
      </w:r>
      <w:r w:rsidR="00B363DC">
        <w:rPr>
          <w:rFonts w:asciiTheme="minorHAnsi" w:hAnsiTheme="minorHAnsi" w:cs="Arial"/>
          <w:sz w:val="22"/>
        </w:rPr>
        <w:t xml:space="preserve"> agenda item</w:t>
      </w:r>
      <w:r>
        <w:rPr>
          <w:rFonts w:asciiTheme="minorHAnsi" w:hAnsiTheme="minorHAnsi" w:cs="Arial"/>
          <w:sz w:val="22"/>
        </w:rPr>
        <w:t xml:space="preserve">. </w:t>
      </w:r>
    </w:p>
    <w:p w:rsidR="00516C1D" w:rsidRPr="00115D28" w:rsidRDefault="00516C1D" w:rsidP="00D60C6F">
      <w:pPr>
        <w:pStyle w:val="ListParagraph"/>
        <w:rPr>
          <w:rFonts w:asciiTheme="minorHAnsi" w:hAnsiTheme="minorHAnsi" w:cs="Arial"/>
          <w:sz w:val="22"/>
        </w:rPr>
      </w:pPr>
    </w:p>
    <w:p w:rsidR="00E94079" w:rsidRPr="00B363DC" w:rsidRDefault="00D60C6F" w:rsidP="009E775C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u w:val="single"/>
        </w:rPr>
      </w:pPr>
      <w:r w:rsidRPr="00B363DC">
        <w:rPr>
          <w:rFonts w:asciiTheme="minorHAnsi" w:hAnsiTheme="minorHAnsi" w:cs="Arial"/>
          <w:sz w:val="22"/>
          <w:u w:val="single"/>
        </w:rPr>
        <w:t>Associate Deans meeting update</w:t>
      </w:r>
    </w:p>
    <w:p w:rsidR="002D7403" w:rsidRDefault="00B363DC" w:rsidP="002D7403">
      <w:pPr>
        <w:ind w:left="72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Withers and Thuringer gave a brief presentation to the Associate </w:t>
      </w:r>
      <w:r w:rsidR="002D7403">
        <w:rPr>
          <w:rFonts w:asciiTheme="minorHAnsi" w:hAnsiTheme="minorHAnsi" w:cs="Arial"/>
          <w:sz w:val="22"/>
        </w:rPr>
        <w:t>Deans updating them on UK Core. Items included the updated exceptions and UKC approval policies, course submission deadlines, enrollment data, and assessment reminders.</w:t>
      </w:r>
    </w:p>
    <w:p w:rsidR="002D7403" w:rsidRDefault="002D7403" w:rsidP="002D7403">
      <w:pPr>
        <w:ind w:left="720"/>
        <w:rPr>
          <w:rFonts w:asciiTheme="minorHAnsi" w:hAnsiTheme="minorHAnsi" w:cs="Arial"/>
          <w:sz w:val="22"/>
        </w:rPr>
      </w:pPr>
    </w:p>
    <w:p w:rsidR="009E775C" w:rsidRPr="002D7403" w:rsidRDefault="002D7403" w:rsidP="002D7403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u w:val="single"/>
        </w:rPr>
      </w:pPr>
      <w:r>
        <w:rPr>
          <w:rFonts w:asciiTheme="minorHAnsi" w:hAnsiTheme="minorHAnsi" w:cs="Arial"/>
          <w:sz w:val="22"/>
          <w:u w:val="single"/>
        </w:rPr>
        <w:t>Other business</w:t>
      </w:r>
    </w:p>
    <w:p w:rsidR="009E775C" w:rsidRDefault="002D7403" w:rsidP="002D7403">
      <w:pPr>
        <w:ind w:left="720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McDonald expressed </w:t>
      </w:r>
      <w:r w:rsidR="009E775C">
        <w:rPr>
          <w:rFonts w:asciiTheme="minorHAnsi" w:hAnsiTheme="minorHAnsi" w:cs="Arial"/>
          <w:sz w:val="22"/>
        </w:rPr>
        <w:t>concerns over cancelled sections in ANT which is causing some questions and concern within the d</w:t>
      </w:r>
      <w:r>
        <w:rPr>
          <w:rFonts w:asciiTheme="minorHAnsi" w:hAnsiTheme="minorHAnsi" w:cs="Arial"/>
          <w:sz w:val="22"/>
        </w:rPr>
        <w:t>epartment.  History</w:t>
      </w:r>
      <w:r w:rsidR="009E775C">
        <w:rPr>
          <w:rFonts w:asciiTheme="minorHAnsi" w:hAnsiTheme="minorHAnsi" w:cs="Arial"/>
          <w:sz w:val="22"/>
        </w:rPr>
        <w:t xml:space="preserve"> is having the same conversation. Recommendation to invite Derek Lane, Jesse Hedge, etc. to help </w:t>
      </w:r>
      <w:proofErr w:type="gramStart"/>
      <w:r w:rsidR="009E775C">
        <w:rPr>
          <w:rFonts w:asciiTheme="minorHAnsi" w:hAnsiTheme="minorHAnsi" w:cs="Arial"/>
          <w:sz w:val="22"/>
        </w:rPr>
        <w:t>advise</w:t>
      </w:r>
      <w:proofErr w:type="gramEnd"/>
      <w:r w:rsidR="009E775C">
        <w:rPr>
          <w:rFonts w:asciiTheme="minorHAnsi" w:hAnsiTheme="minorHAnsi" w:cs="Arial"/>
          <w:sz w:val="22"/>
        </w:rPr>
        <w:t xml:space="preserve"> from the College perspective. Beattie points out </w:t>
      </w:r>
      <w:proofErr w:type="gramStart"/>
      <w:r w:rsidR="009E775C">
        <w:rPr>
          <w:rFonts w:asciiTheme="minorHAnsi" w:hAnsiTheme="minorHAnsi" w:cs="Arial"/>
          <w:sz w:val="22"/>
        </w:rPr>
        <w:t>that students</w:t>
      </w:r>
      <w:proofErr w:type="gramEnd"/>
      <w:r w:rsidR="009E775C">
        <w:rPr>
          <w:rFonts w:asciiTheme="minorHAnsi" w:hAnsiTheme="minorHAnsi" w:cs="Arial"/>
          <w:sz w:val="22"/>
        </w:rPr>
        <w:t xml:space="preserve"> are having to take less n</w:t>
      </w:r>
      <w:r>
        <w:rPr>
          <w:rFonts w:asciiTheme="minorHAnsi" w:hAnsiTheme="minorHAnsi" w:cs="Arial"/>
          <w:sz w:val="22"/>
        </w:rPr>
        <w:t>umber of courses than with USP. It’s important that we monitor and understand enrollment pressures and needs moving forward; Thuringer will add this as a future agenda item.</w:t>
      </w:r>
    </w:p>
    <w:p w:rsidR="00DA0DFB" w:rsidRPr="00115D28" w:rsidRDefault="00DA0DFB" w:rsidP="00DA0DFB">
      <w:pPr>
        <w:rPr>
          <w:rFonts w:asciiTheme="minorHAnsi" w:hAnsiTheme="minorHAnsi" w:cs="Arial"/>
          <w:sz w:val="22"/>
        </w:rPr>
      </w:pPr>
    </w:p>
    <w:p w:rsidR="00C16E59" w:rsidRPr="00115D28" w:rsidRDefault="00A60B0F" w:rsidP="00C16E59">
      <w:pPr>
        <w:rPr>
          <w:rFonts w:asciiTheme="minorHAnsi" w:hAnsiTheme="minorHAnsi" w:cs="Arial"/>
          <w:b/>
          <w:sz w:val="22"/>
          <w:szCs w:val="22"/>
        </w:rPr>
      </w:pPr>
      <w:r w:rsidRPr="00115D28">
        <w:rPr>
          <w:rFonts w:asciiTheme="minorHAnsi" w:hAnsiTheme="minorHAnsi" w:cs="Arial"/>
          <w:b/>
          <w:sz w:val="22"/>
          <w:szCs w:val="22"/>
        </w:rPr>
        <w:t>Spring meetings:</w:t>
      </w:r>
    </w:p>
    <w:p w:rsidR="002D7403" w:rsidRDefault="002D7403" w:rsidP="00C16E59">
      <w:pPr>
        <w:rPr>
          <w:rFonts w:asciiTheme="minorHAnsi" w:hAnsiTheme="minorHAnsi" w:cs="Arial"/>
          <w:sz w:val="22"/>
        </w:rPr>
        <w:sectPr w:rsidR="002D7403" w:rsidSect="00C16E59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E67DAA" w:rsidRPr="00115D28" w:rsidRDefault="00A02563" w:rsidP="00C16E59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lastRenderedPageBreak/>
        <w:t xml:space="preserve">Mondays, 3-4:30 pm, </w:t>
      </w:r>
      <w:r w:rsidR="00D60C6F" w:rsidRPr="00115D28">
        <w:rPr>
          <w:rFonts w:asciiTheme="minorHAnsi" w:hAnsiTheme="minorHAnsi" w:cs="Arial"/>
          <w:sz w:val="22"/>
        </w:rPr>
        <w:t>245 POT</w:t>
      </w:r>
      <w:r w:rsidR="00E67DAA" w:rsidRPr="00115D28">
        <w:rPr>
          <w:rFonts w:asciiTheme="minorHAnsi" w:hAnsiTheme="minorHAnsi" w:cs="Arial"/>
          <w:sz w:val="22"/>
        </w:rPr>
        <w:t>.</w:t>
      </w: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February 17</w:t>
      </w: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March 3</w:t>
      </w: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March 24</w:t>
      </w: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lastRenderedPageBreak/>
        <w:t>April 7</w:t>
      </w: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April 21</w:t>
      </w: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May 12</w:t>
      </w:r>
    </w:p>
    <w:p w:rsidR="002D7403" w:rsidRDefault="002D7403" w:rsidP="00C16E59">
      <w:pPr>
        <w:rPr>
          <w:rFonts w:asciiTheme="minorHAnsi" w:hAnsiTheme="minorHAnsi" w:cs="Arial"/>
        </w:rPr>
        <w:sectPr w:rsidR="002D7403" w:rsidSect="002D7403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E346F1" w:rsidRPr="00115D28" w:rsidRDefault="00E346F1" w:rsidP="00C16E59">
      <w:pPr>
        <w:rPr>
          <w:rFonts w:asciiTheme="minorHAnsi" w:hAnsiTheme="minorHAnsi" w:cs="Arial"/>
        </w:rPr>
      </w:pPr>
    </w:p>
    <w:p w:rsidR="00E346F1" w:rsidRPr="00115D28" w:rsidRDefault="002D7403" w:rsidP="00C16E5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Submitted by Chris Thuringer on February 3, 2014.</w:t>
      </w:r>
    </w:p>
    <w:p w:rsidR="00E346F1" w:rsidRPr="00115D28" w:rsidRDefault="00E346F1" w:rsidP="00C16E59">
      <w:pPr>
        <w:rPr>
          <w:rFonts w:asciiTheme="minorHAnsi" w:hAnsiTheme="minorHAnsi" w:cs="Arial"/>
        </w:rPr>
      </w:pPr>
    </w:p>
    <w:p w:rsidR="00D60C6F" w:rsidRPr="00115D28" w:rsidRDefault="00D60C6F">
      <w:pPr>
        <w:spacing w:after="200" w:line="276" w:lineRule="auto"/>
        <w:rPr>
          <w:rFonts w:asciiTheme="minorHAnsi" w:hAnsiTheme="minorHAnsi"/>
          <w:b/>
          <w:color w:val="365F91" w:themeColor="accent1" w:themeShade="BF"/>
        </w:rPr>
      </w:pPr>
      <w:r w:rsidRPr="00115D28">
        <w:rPr>
          <w:rFonts w:asciiTheme="minorHAnsi" w:hAnsiTheme="minorHAnsi"/>
          <w:b/>
          <w:color w:val="365F91" w:themeColor="accent1" w:themeShade="BF"/>
        </w:rPr>
        <w:br w:type="page"/>
      </w:r>
    </w:p>
    <w:p w:rsidR="00AC191D" w:rsidRPr="00111E98" w:rsidRDefault="00AC191D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  <w:r w:rsidRPr="00111E98">
        <w:rPr>
          <w:rFonts w:asciiTheme="majorHAnsi" w:hAnsiTheme="majorHAnsi"/>
          <w:b/>
          <w:color w:val="365F91" w:themeColor="accent1" w:themeShade="BF"/>
        </w:rPr>
        <w:lastRenderedPageBreak/>
        <w:t>UKCEC Course Approval Status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This chart details the courses currently at the UKCEC approval level.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 xml:space="preserve">The date indicated is when the proposal was approved by the College and received by UKCEC. 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Approved pending courses are awaiting some action (coordinated by Joanie) before being forward</w:t>
      </w:r>
      <w:r>
        <w:rPr>
          <w:rFonts w:ascii="Calibri" w:eastAsia="Calibri" w:hAnsi="Calibri"/>
          <w:sz w:val="22"/>
          <w:szCs w:val="22"/>
        </w:rPr>
        <w:t>ed</w:t>
      </w:r>
      <w:r w:rsidRPr="00146D8C">
        <w:rPr>
          <w:rFonts w:ascii="Calibri" w:eastAsia="Calibri" w:hAnsi="Calibri"/>
          <w:sz w:val="22"/>
          <w:szCs w:val="22"/>
        </w:rPr>
        <w:t xml:space="preserve"> to Undergraduate Council for approval.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Hold courses require more discussion and action before being presented for UKCEC approval</w:t>
      </w:r>
    </w:p>
    <w:p w:rsidR="00E346F1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Please notify Joanie Ett-Mims (</w:t>
      </w:r>
      <w:hyperlink r:id="rId7" w:history="1">
        <w:r w:rsidRPr="00146D8C">
          <w:rPr>
            <w:rFonts w:ascii="Calibri" w:eastAsia="Calibri" w:hAnsi="Calibri"/>
            <w:color w:val="0000FF"/>
            <w:sz w:val="22"/>
            <w:szCs w:val="22"/>
            <w:u w:val="single"/>
          </w:rPr>
          <w:t>joanie.ett-mims@uky.edu</w:t>
        </w:r>
      </w:hyperlink>
      <w:r w:rsidRPr="00146D8C">
        <w:rPr>
          <w:rFonts w:ascii="Calibri" w:eastAsia="Calibri" w:hAnsi="Calibri"/>
          <w:sz w:val="22"/>
          <w:szCs w:val="22"/>
        </w:rPr>
        <w:t xml:space="preserve"> | 257-9039) of any changes to this list</w:t>
      </w: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273"/>
        <w:gridCol w:w="5031"/>
        <w:gridCol w:w="2277"/>
      </w:tblGrid>
      <w:tr w:rsidR="00E67DAA" w:rsidRPr="00E67DAA" w:rsidTr="00E67DAA">
        <w:tc>
          <w:tcPr>
            <w:tcW w:w="9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Composition and Communication II</w:t>
            </w:r>
          </w:p>
        </w:tc>
      </w:tr>
      <w:tr w:rsidR="00E67DAA" w:rsidRPr="00E67DAA" w:rsidTr="00BA1CDB"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2-26-13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CIS 184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Communicating Arguments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67DAA" w:rsidRPr="00E67DAA" w:rsidTr="00E67DAA">
        <w:tc>
          <w:tcPr>
            <w:tcW w:w="991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Citizenship - Global Dynamics</w:t>
            </w:r>
          </w:p>
        </w:tc>
      </w:tr>
      <w:tr w:rsidR="00E67DAA" w:rsidRPr="00E67DAA" w:rsidTr="00BA1CDB"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HIS 253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History of Pre-Colonial Africa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67DAA" w:rsidRPr="00E67DAA" w:rsidTr="00BA1CDB"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RUS 270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Russian Culture 900-1900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67DAA" w:rsidRPr="00E67DAA" w:rsidTr="00E67DAA">
        <w:tc>
          <w:tcPr>
            <w:tcW w:w="991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Citizenship - US</w:t>
            </w:r>
          </w:p>
        </w:tc>
      </w:tr>
      <w:tr w:rsidR="00E67DAA" w:rsidRPr="00E67DAA" w:rsidTr="00BA1CDB"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12-4-13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AIS 430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Islam in America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67DAA" w:rsidRPr="00E67DAA" w:rsidTr="00BA1CDB"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11-20-13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ENG 168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All That Speak of Jazz: An Intellectual Inquiry into Jazz and Democracy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BA1CDB" w:rsidRPr="00E67DAA" w:rsidTr="00516C1D"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DB" w:rsidRPr="00E67DAA" w:rsidRDefault="00BA1CDB" w:rsidP="00516C1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11-20-13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DB" w:rsidRPr="00E67DAA" w:rsidRDefault="00BA1CDB" w:rsidP="00516C1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GWS 309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DB" w:rsidRPr="00E67DAA" w:rsidRDefault="00BA1CDB" w:rsidP="00516C1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BA1CDB">
              <w:rPr>
                <w:rFonts w:ascii="Calibri" w:eastAsia="Calibri" w:hAnsi="Calibri"/>
                <w:sz w:val="22"/>
                <w:szCs w:val="22"/>
              </w:rPr>
              <w:t>Health, History, and Human Diversity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DB" w:rsidRPr="00E67DAA" w:rsidRDefault="002D7403" w:rsidP="00516C1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67DAA" w:rsidRPr="00E67DAA" w:rsidTr="00E67DAA">
        <w:tc>
          <w:tcPr>
            <w:tcW w:w="991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- Humanities</w:t>
            </w:r>
          </w:p>
        </w:tc>
      </w:tr>
      <w:tr w:rsidR="00E67DAA" w:rsidRPr="00E67DAA" w:rsidTr="00BA1CDB"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RUS 271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Russian Culture 1900-Present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115D28" w:rsidRPr="00E67DAA" w:rsidTr="00115D28"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D28" w:rsidRPr="00E67DAA" w:rsidRDefault="00115D28" w:rsidP="00516C1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D28" w:rsidRPr="00E67DAA" w:rsidRDefault="00115D28" w:rsidP="00516C1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MCL 135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D28" w:rsidRPr="00E67DAA" w:rsidRDefault="00115D28" w:rsidP="00516C1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Vampires: Evolution of a Sexy Monster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D28" w:rsidRPr="00E67DAA" w:rsidRDefault="00115D28" w:rsidP="00516C1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BA1CDB" w:rsidRPr="00E67DAA" w:rsidTr="00BA1CDB"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DB" w:rsidRPr="00E67DAA" w:rsidRDefault="00BA1CDB" w:rsidP="00E67DA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11-20-13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DB" w:rsidRPr="00E67DAA" w:rsidRDefault="00BA1CDB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GWS 309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DB" w:rsidRPr="00E67DAA" w:rsidRDefault="00BA1CDB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BA1CDB">
              <w:rPr>
                <w:rFonts w:ascii="Calibri" w:eastAsia="Calibri" w:hAnsi="Calibri"/>
                <w:sz w:val="22"/>
                <w:szCs w:val="22"/>
              </w:rPr>
              <w:t>Health, History, and Human Diversity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DB" w:rsidRPr="00E67DAA" w:rsidRDefault="002D7403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67DAA" w:rsidRPr="00E67DAA" w:rsidTr="00E67DAA">
        <w:tc>
          <w:tcPr>
            <w:tcW w:w="991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- Arts &amp; Creativity</w:t>
            </w:r>
          </w:p>
        </w:tc>
      </w:tr>
      <w:tr w:rsidR="00E67DAA" w:rsidRPr="00E67DAA" w:rsidTr="00BA1CDB"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jc w:val="center"/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color w:val="7F7F7F"/>
                <w:sz w:val="22"/>
                <w:szCs w:val="22"/>
              </w:rPr>
              <w:t>04-08-11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color w:val="7F7F7F"/>
                <w:sz w:val="22"/>
                <w:szCs w:val="22"/>
              </w:rPr>
              <w:t>ARC 151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color w:val="7F7F7F"/>
                <w:sz w:val="22"/>
                <w:szCs w:val="22"/>
              </w:rPr>
              <w:t>Design Studio I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color w:val="7F7F7F"/>
                <w:sz w:val="22"/>
                <w:szCs w:val="22"/>
              </w:rPr>
              <w:t>Hold</w:t>
            </w:r>
          </w:p>
        </w:tc>
      </w:tr>
      <w:tr w:rsidR="00E67DAA" w:rsidRPr="00E67DAA" w:rsidTr="00BA1CDB"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11-20-13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ENG 168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 xml:space="preserve">All That Speak of Jazz: An Intellectual Inquiry into Jazz and Democracy 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67DAA" w:rsidRPr="00E67DAA" w:rsidTr="00BA1CDB"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10-18-13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IS 200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Information Literacy &amp; Critical Thinking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67DAA" w:rsidRPr="00E67DAA" w:rsidTr="00E67DAA">
        <w:tc>
          <w:tcPr>
            <w:tcW w:w="991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– Natural Sciences</w:t>
            </w:r>
          </w:p>
        </w:tc>
      </w:tr>
      <w:tr w:rsidR="00E67DAA" w:rsidRPr="00E67DAA" w:rsidTr="00BA1CDB"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AA" w:rsidRPr="00E67DAA" w:rsidRDefault="00BA1CDB" w:rsidP="00E67DA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11-20-13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AA" w:rsidRPr="00E67DAA" w:rsidRDefault="00BA1CDB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PHY 170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AA" w:rsidRPr="00E67DAA" w:rsidRDefault="00BA1CDB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BA1CDB">
              <w:rPr>
                <w:rFonts w:ascii="Calibri" w:eastAsia="Calibri" w:hAnsi="Calibri"/>
                <w:sz w:val="22"/>
                <w:szCs w:val="22"/>
              </w:rPr>
              <w:t>Quantum Theory for Everyone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67DAA" w:rsidRPr="00E67DAA" w:rsidTr="00E67DAA">
        <w:tc>
          <w:tcPr>
            <w:tcW w:w="991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– Social Sciences</w:t>
            </w:r>
          </w:p>
        </w:tc>
      </w:tr>
      <w:tr w:rsidR="00E67DAA" w:rsidRPr="00E67DAA" w:rsidTr="00BA1CDB"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12-4-13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AIS 430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Islam in America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67DAA" w:rsidRPr="00E67DAA" w:rsidTr="00BA1CDB"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4-9-13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ANT 103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Sports, Culture, and Society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30707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Approved Pending</w:t>
            </w:r>
          </w:p>
        </w:tc>
      </w:tr>
      <w:tr w:rsidR="00E67DAA" w:rsidRPr="00E67DAA" w:rsidTr="00BA1CDB"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3-20-13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CPH 351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Preparing for an Apocalyptic Event: Population Health and Crisis Management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67DAA" w:rsidRPr="00E67DAA" w:rsidTr="00BA1CDB"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10-2-13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HP 101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Historic Preservation: How the Past Informs the Future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E67DAA" w:rsidRPr="00E67DAA" w:rsidTr="00BA1CDB"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MCL 135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Vampires: Evolution of a Sexy Monster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7DAA" w:rsidRPr="00E67DAA" w:rsidRDefault="00E67DAA" w:rsidP="00E67DAA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E67DAA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BA1CDB" w:rsidRPr="00E67DAA" w:rsidTr="00BA1CDB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DB" w:rsidRPr="00BA1CDB" w:rsidRDefault="00BA1CDB" w:rsidP="00E67DAA">
            <w:pPr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A1CDB">
              <w:rPr>
                <w:rFonts w:ascii="Calibri" w:eastAsia="Calibri" w:hAnsi="Calibri"/>
                <w:b/>
                <w:color w:val="FFFFFF" w:themeColor="background1"/>
                <w:sz w:val="22"/>
                <w:szCs w:val="22"/>
              </w:rPr>
              <w:t>Quantitative Foundations</w:t>
            </w:r>
          </w:p>
        </w:tc>
      </w:tr>
      <w:tr w:rsidR="00BA1CDB" w:rsidRPr="00E67DAA" w:rsidTr="00516C1D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DB" w:rsidRPr="00E67DAA" w:rsidRDefault="00BA1CDB" w:rsidP="00516C1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12-13-13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DB" w:rsidRPr="00E67DAA" w:rsidRDefault="00BA1CDB" w:rsidP="00516C1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CS 261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DB" w:rsidRPr="00E67DAA" w:rsidRDefault="00BA1CDB" w:rsidP="00516C1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 w:rsidRPr="00BA1CDB">
              <w:rPr>
                <w:rFonts w:ascii="Calibri" w:eastAsia="Calibri" w:hAnsi="Calibri"/>
                <w:sz w:val="22"/>
                <w:szCs w:val="22"/>
              </w:rPr>
              <w:t>Social Networks: Methods and Tools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1CDB" w:rsidRPr="00E67DAA" w:rsidRDefault="002D7403" w:rsidP="00516C1D">
            <w:pPr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</w:tbl>
    <w:p w:rsidR="00E346F1" w:rsidRPr="00E346F1" w:rsidRDefault="00E346F1" w:rsidP="00C16E59">
      <w:pPr>
        <w:rPr>
          <w:rFonts w:ascii="Arial" w:hAnsi="Arial" w:cs="Arial"/>
        </w:rPr>
      </w:pPr>
    </w:p>
    <w:sectPr w:rsidR="00E346F1" w:rsidRPr="00E346F1" w:rsidSect="002D7403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34A"/>
    <w:multiLevelType w:val="hybridMultilevel"/>
    <w:tmpl w:val="80D4B7C8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B33DC"/>
    <w:multiLevelType w:val="hybridMultilevel"/>
    <w:tmpl w:val="87902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9F6A00"/>
    <w:multiLevelType w:val="hybridMultilevel"/>
    <w:tmpl w:val="471EBDF2"/>
    <w:lvl w:ilvl="0" w:tplc="7EE0D0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1506C"/>
    <w:multiLevelType w:val="hybridMultilevel"/>
    <w:tmpl w:val="A816E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60F2"/>
    <w:multiLevelType w:val="hybridMultilevel"/>
    <w:tmpl w:val="5A70F80E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700C02"/>
    <w:multiLevelType w:val="hybridMultilevel"/>
    <w:tmpl w:val="6C127CEC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A16D3A"/>
    <w:multiLevelType w:val="hybridMultilevel"/>
    <w:tmpl w:val="07A80E24"/>
    <w:lvl w:ilvl="0" w:tplc="5E2E66EC">
      <w:start w:val="38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FD0C04"/>
    <w:multiLevelType w:val="hybridMultilevel"/>
    <w:tmpl w:val="3A4A74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32803BD"/>
    <w:multiLevelType w:val="hybridMultilevel"/>
    <w:tmpl w:val="219E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59"/>
    <w:rsid w:val="00111E98"/>
    <w:rsid w:val="00115D28"/>
    <w:rsid w:val="00151187"/>
    <w:rsid w:val="00245964"/>
    <w:rsid w:val="002D7403"/>
    <w:rsid w:val="002E6463"/>
    <w:rsid w:val="0030707A"/>
    <w:rsid w:val="00321E11"/>
    <w:rsid w:val="0038684A"/>
    <w:rsid w:val="003E52D0"/>
    <w:rsid w:val="003F5D19"/>
    <w:rsid w:val="004569EE"/>
    <w:rsid w:val="00487FFB"/>
    <w:rsid w:val="00516C1D"/>
    <w:rsid w:val="00541B81"/>
    <w:rsid w:val="005D2F39"/>
    <w:rsid w:val="006C4A9D"/>
    <w:rsid w:val="007E3D55"/>
    <w:rsid w:val="008079D5"/>
    <w:rsid w:val="00810FC3"/>
    <w:rsid w:val="008704B0"/>
    <w:rsid w:val="008809BC"/>
    <w:rsid w:val="00994178"/>
    <w:rsid w:val="009B5700"/>
    <w:rsid w:val="009E775C"/>
    <w:rsid w:val="009F64D6"/>
    <w:rsid w:val="00A02563"/>
    <w:rsid w:val="00A43AA9"/>
    <w:rsid w:val="00A60B0F"/>
    <w:rsid w:val="00AA7ADE"/>
    <w:rsid w:val="00AC191D"/>
    <w:rsid w:val="00B27D3F"/>
    <w:rsid w:val="00B363DC"/>
    <w:rsid w:val="00B60AA0"/>
    <w:rsid w:val="00BA1CDB"/>
    <w:rsid w:val="00C11F56"/>
    <w:rsid w:val="00C16E59"/>
    <w:rsid w:val="00C4488E"/>
    <w:rsid w:val="00C4759E"/>
    <w:rsid w:val="00D343C0"/>
    <w:rsid w:val="00D60C6F"/>
    <w:rsid w:val="00D971E9"/>
    <w:rsid w:val="00DA0DFB"/>
    <w:rsid w:val="00DF2CA3"/>
    <w:rsid w:val="00E03600"/>
    <w:rsid w:val="00E04D8A"/>
    <w:rsid w:val="00E346F1"/>
    <w:rsid w:val="00E37B84"/>
    <w:rsid w:val="00E67DAA"/>
    <w:rsid w:val="00E94079"/>
    <w:rsid w:val="00FB0FAA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04B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0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04B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0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anie.ett-mims@uky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CD5ED5-BB6C-4FA0-8A33-94BB37D9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Ett, Joanie M</dc:creator>
  <cp:lastModifiedBy>Ett, Joanie M</cp:lastModifiedBy>
  <cp:revision>2</cp:revision>
  <dcterms:created xsi:type="dcterms:W3CDTF">2014-02-12T21:19:00Z</dcterms:created>
  <dcterms:modified xsi:type="dcterms:W3CDTF">2014-02-12T21:19:00Z</dcterms:modified>
</cp:coreProperties>
</file>