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E625" w14:textId="77777777" w:rsidR="00977634" w:rsidRPr="00FD15FF" w:rsidRDefault="00977634" w:rsidP="00977634">
      <w:pPr>
        <w:pStyle w:val="Heading2"/>
        <w:jc w:val="center"/>
      </w:pPr>
      <w:r>
        <w:rPr>
          <w:lang w:val="en-US"/>
        </w:rPr>
        <w:t>The Curious Case of Clickers in UKY</w:t>
      </w:r>
      <w:r>
        <w:t xml:space="preserve"> Engineering Education</w:t>
      </w:r>
    </w:p>
    <w:p w14:paraId="55ACCA97" w14:textId="2FC59457" w:rsidR="00977634" w:rsidRPr="00977634" w:rsidRDefault="00977634" w:rsidP="00977634">
      <w:pPr>
        <w:pStyle w:val="Heading1"/>
        <w:rPr>
          <w:b w:val="0"/>
          <w:bCs w:val="0"/>
        </w:rPr>
      </w:pPr>
      <w:r w:rsidRPr="00977634">
        <w:rPr>
          <w:b w:val="0"/>
          <w:bCs w:val="0"/>
        </w:rPr>
        <w:t>Gerry Swan</w:t>
      </w:r>
      <w:r w:rsidRPr="00977634">
        <w:rPr>
          <w:b w:val="0"/>
          <w:bCs w:val="0"/>
          <w:i/>
        </w:rPr>
        <w:br/>
        <w:t>University of Kentucky</w:t>
      </w:r>
    </w:p>
    <w:p w14:paraId="49774D5E" w14:textId="77777777" w:rsidR="00977634" w:rsidRDefault="00977634" w:rsidP="00D942C8">
      <w:pPr>
        <w:pStyle w:val="Heading1"/>
      </w:pPr>
    </w:p>
    <w:p w14:paraId="4F3E239A" w14:textId="60E4ED7A" w:rsidR="00841A9B" w:rsidRPr="00C216FC" w:rsidRDefault="00841A9B" w:rsidP="00D942C8">
      <w:pPr>
        <w:pStyle w:val="Heading1"/>
      </w:pPr>
      <w:r>
        <w:t>Introduction</w:t>
      </w:r>
    </w:p>
    <w:p w14:paraId="5F701A59" w14:textId="7DBF5AEF" w:rsidR="00841A9B" w:rsidRPr="008C6F6E" w:rsidRDefault="00841A9B" w:rsidP="00841A9B">
      <w:pPr>
        <w:pStyle w:val="BodyText"/>
      </w:pPr>
      <w:proofErr w:type="spellStart"/>
      <w:r w:rsidRPr="00840216">
        <w:t>Molenda</w:t>
      </w:r>
      <w:proofErr w:type="spellEnd"/>
      <w:r w:rsidRPr="00840216">
        <w:t xml:space="preserve"> (2009) called for instructional technology to contribute to learning productivity. He </w:t>
      </w:r>
      <w:r>
        <w:t>provides</w:t>
      </w:r>
      <w:r w:rsidRPr="00840216">
        <w:t xml:space="preserve"> several definitions of productivity: </w:t>
      </w:r>
      <w:r>
        <w:t>“</w:t>
      </w:r>
      <w:r w:rsidRPr="00840216">
        <w:t>1) doing much more with a little more, 2) doing more with the same, 3) doing less with less, and 4) doing more with less</w:t>
      </w:r>
      <w:r>
        <w:t>”</w:t>
      </w:r>
      <w:r w:rsidRPr="00840216">
        <w:t xml:space="preserve"> (p. 85).  Thus, the productivity equation balances efficiency and effectiveness. </w:t>
      </w:r>
      <w:r>
        <w:t xml:space="preserve"> </w:t>
      </w:r>
      <w:r w:rsidRPr="00840216">
        <w:t xml:space="preserve">Given the push to </w:t>
      </w:r>
      <w:r>
        <w:t xml:space="preserve">maximize enrollment (a tactic) through the </w:t>
      </w:r>
      <w:r w:rsidRPr="00840216">
        <w:t>creat</w:t>
      </w:r>
      <w:r>
        <w:t>ion</w:t>
      </w:r>
      <w:r w:rsidRPr="00840216">
        <w:t xml:space="preserve"> online programs</w:t>
      </w:r>
      <w:r>
        <w:t xml:space="preserve"> (technology) </w:t>
      </w:r>
      <w:r w:rsidRPr="00840216">
        <w:t>, there is little doubt that administration in higher education has the efficien</w:t>
      </w:r>
      <w:r w:rsidR="00811AD9">
        <w:t>cy</w:t>
      </w:r>
      <w:r w:rsidRPr="00840216">
        <w:t xml:space="preserve"> side </w:t>
      </w:r>
      <w:r w:rsidR="00811AD9">
        <w:t xml:space="preserve">of the productivity equation </w:t>
      </w:r>
      <w:r w:rsidRPr="00840216">
        <w:t xml:space="preserve">in their sight. </w:t>
      </w:r>
      <w:r>
        <w:t xml:space="preserve"> However, t</w:t>
      </w:r>
      <w:r w:rsidRPr="00840216">
        <w:t>here seems to be much less discussion about the effectiveness sid</w:t>
      </w:r>
      <w:r>
        <w:t>e</w:t>
      </w:r>
      <w:r w:rsidR="00811AD9">
        <w:t xml:space="preserve"> </w:t>
      </w:r>
      <w:r>
        <w:t xml:space="preserve">– a balance that </w:t>
      </w:r>
      <w:r>
        <w:rPr>
          <w:i/>
        </w:rPr>
        <w:t>begins with</w:t>
      </w:r>
      <w:r>
        <w:t xml:space="preserve"> instructional</w:t>
      </w:r>
      <w:r>
        <w:rPr>
          <w:i/>
        </w:rPr>
        <w:t xml:space="preserve"> </w:t>
      </w:r>
      <w:r>
        <w:t xml:space="preserve">effectiveness (a foundational strategy) as well as appropriate tactics </w:t>
      </w:r>
      <w:r>
        <w:rPr>
          <w:i/>
        </w:rPr>
        <w:t>and</w:t>
      </w:r>
      <w:r>
        <w:t xml:space="preserve"> technologies.</w:t>
      </w:r>
    </w:p>
    <w:p w14:paraId="6AAFACF5" w14:textId="77777777" w:rsidR="00841A9B" w:rsidRPr="00840216" w:rsidRDefault="00841A9B" w:rsidP="00841A9B">
      <w:pPr>
        <w:pStyle w:val="BodyText"/>
      </w:pPr>
      <w:r w:rsidRPr="00840216">
        <w:t>It</w:t>
      </w:r>
      <w:r>
        <w:t xml:space="preserve"> is</w:t>
      </w:r>
      <w:r w:rsidRPr="00840216">
        <w:t xml:space="preserve"> not that we do</w:t>
      </w:r>
      <w:r>
        <w:t xml:space="preserve"> </w:t>
      </w:r>
      <w:r w:rsidRPr="00840216">
        <w:t>n</w:t>
      </w:r>
      <w:r>
        <w:t>o</w:t>
      </w:r>
      <w:r w:rsidRPr="00840216">
        <w:t xml:space="preserve">t know how to make instruction more effective, quite the contrary. According to </w:t>
      </w:r>
      <w:proofErr w:type="spellStart"/>
      <w:r w:rsidRPr="00840216">
        <w:t>Hasselbring</w:t>
      </w:r>
      <w:proofErr w:type="spellEnd"/>
      <w:r w:rsidRPr="00840216">
        <w:t xml:space="preserve"> (2001), our understanding of technology and learning have evolved at an accelerated pace in recent decades although “too often, our use of technology in schools and other learning environments has ignored what we know about how people learn</w:t>
      </w:r>
      <w:r>
        <w:t>”</w:t>
      </w:r>
      <w:r w:rsidRPr="00840216">
        <w:t xml:space="preserve"> (p.5).  Moreover, technology is a tool that can be used to execute a tactic, but without an effective strategy</w:t>
      </w:r>
      <w:r>
        <w:t>,</w:t>
      </w:r>
      <w:r w:rsidRPr="00840216">
        <w:t xml:space="preserve"> tools and tactics result in nothing but expenditures of money and personnel. </w:t>
      </w:r>
      <w:r>
        <w:t xml:space="preserve"> </w:t>
      </w:r>
    </w:p>
    <w:p w14:paraId="708B3108" w14:textId="76E8AB11" w:rsidR="00841A9B" w:rsidRDefault="00977634" w:rsidP="00841A9B">
      <w:pPr>
        <w:pStyle w:val="BodyText"/>
      </w:pPr>
      <w:proofErr w:type="spellStart"/>
      <w:r>
        <w:rPr>
          <w:lang w:val="en-US"/>
        </w:rPr>
        <w:t>T</w:t>
      </w:r>
      <w:r w:rsidR="00841A9B">
        <w:t>his</w:t>
      </w:r>
      <w:proofErr w:type="spellEnd"/>
      <w:r w:rsidR="00841A9B">
        <w:t xml:space="preserve"> paper </w:t>
      </w:r>
      <w:r>
        <w:rPr>
          <w:lang w:val="en-US"/>
        </w:rPr>
        <w:t xml:space="preserve">looks at </w:t>
      </w:r>
      <w:r w:rsidR="00841A9B">
        <w:t xml:space="preserve">the results of a survey conducted with undergraduate engineering students about the in-class practices students encountered in the classes they perceived to be their </w:t>
      </w:r>
      <w:r w:rsidR="00841A9B">
        <w:lastRenderedPageBreak/>
        <w:t>best and worst learning experiences.  In addition to general techniques such as lecture or project work, we included the use of audience response systems, commonly referred to as clickers, as one of the instructional practices students could select from. The reason clickers were selected for inclusion had to do with recent IT push at the university to support the use of clickers in larger university classes (to enhance individual participation in classes) and visits several faculty members in the College of Engineering had made to other programs where the use of clickers featured prominently in their programs.</w:t>
      </w:r>
    </w:p>
    <w:p w14:paraId="4FA442AF" w14:textId="77777777" w:rsidR="004C0105" w:rsidRPr="00C95D75" w:rsidRDefault="004C0105" w:rsidP="00841A9B">
      <w:pPr>
        <w:pStyle w:val="BodyText"/>
        <w:rPr>
          <w:szCs w:val="32"/>
        </w:rPr>
      </w:pPr>
    </w:p>
    <w:p w14:paraId="26E4EDAE" w14:textId="77777777" w:rsidR="00841A9B" w:rsidRDefault="00841A9B" w:rsidP="00841A9B">
      <w:pPr>
        <w:pStyle w:val="Heading1"/>
      </w:pPr>
      <w:r>
        <w:t>Conceptual Framework</w:t>
      </w:r>
    </w:p>
    <w:p w14:paraId="2AC17429" w14:textId="77777777" w:rsidR="00841A9B" w:rsidRDefault="00841A9B" w:rsidP="00841A9B">
      <w:pPr>
        <w:pStyle w:val="Heading2"/>
      </w:pPr>
      <w:r>
        <w:t xml:space="preserve">Formative Assessment </w:t>
      </w:r>
    </w:p>
    <w:p w14:paraId="5A9204FC" w14:textId="77777777" w:rsidR="00841A9B" w:rsidRDefault="00841A9B" w:rsidP="00841A9B">
      <w:pPr>
        <w:pStyle w:val="BodyText"/>
      </w:pPr>
      <w:r w:rsidRPr="00031FD4">
        <w:t>Formative assessment, a term coined by Michael Scriven in 196</w:t>
      </w:r>
      <w:r>
        <w:t>7</w:t>
      </w:r>
      <w:r w:rsidRPr="00031FD4">
        <w:t xml:space="preserve"> and repurposed by Bloom for instructional purposes, </w:t>
      </w:r>
      <w:r>
        <w:t>is basically a failure analysis of student learning</w:t>
      </w:r>
      <w:r w:rsidRPr="00031FD4">
        <w:t xml:space="preserve">. </w:t>
      </w:r>
      <w:r>
        <w:t>F</w:t>
      </w:r>
      <w:r w:rsidRPr="00AF25D2">
        <w:t xml:space="preserve">ormative assessment </w:t>
      </w:r>
      <w:r>
        <w:t>can have many</w:t>
      </w:r>
      <w:r w:rsidRPr="00AF25D2">
        <w:t xml:space="preserve"> interpretations</w:t>
      </w:r>
      <w:r>
        <w:t>, some of which are contrary.  F</w:t>
      </w:r>
      <w:r w:rsidRPr="00AF25D2">
        <w:t xml:space="preserve">or this </w:t>
      </w:r>
      <w:r>
        <w:t>paper,</w:t>
      </w:r>
      <w:r w:rsidRPr="00AF25D2">
        <w:t xml:space="preserve"> formative assessment assumes</w:t>
      </w:r>
      <w:r>
        <w:t xml:space="preserve"> three characteristics.  First, </w:t>
      </w:r>
      <w:r w:rsidRPr="00AF25D2">
        <w:t>formative assessment should be marked but the score is not counted towards a student’s grade.</w:t>
      </w:r>
      <w:r>
        <w:t xml:space="preserve"> </w:t>
      </w:r>
      <w:r w:rsidRPr="00AF25D2">
        <w:t xml:space="preserve"> If students perceive an assessment as a competitive endeavor (e.g. “I have to get as many points as possible”), rather than a developmental one (e.g. “I need to figure out how well I know this material”), the classroom context is counter-productive to learning. </w:t>
      </w:r>
      <w:r>
        <w:t xml:space="preserve"> The</w:t>
      </w:r>
      <w:r w:rsidRPr="00AF25D2">
        <w:t xml:space="preserve"> second characteristic of formative assessment is that it should change subsequent instruction. </w:t>
      </w:r>
      <w:r>
        <w:t xml:space="preserve"> </w:t>
      </w:r>
      <w:r w:rsidRPr="00AF25D2">
        <w:t xml:space="preserve">For example, if a quiz is given to students and the instruction that follows is the same regardless of how students perform on the formative assessment, it is </w:t>
      </w:r>
      <w:r w:rsidRPr="00AF25D2">
        <w:rPr>
          <w:i/>
        </w:rPr>
        <w:t xml:space="preserve">not </w:t>
      </w:r>
      <w:r>
        <w:t xml:space="preserve">formative assessment.  </w:t>
      </w:r>
      <w:r w:rsidRPr="007C5E6F">
        <w:t>The assessment, whether it be paper and pencil or project</w:t>
      </w:r>
      <w:r>
        <w:t>-</w:t>
      </w:r>
      <w:r w:rsidRPr="007C5E6F">
        <w:t xml:space="preserve">based creates a </w:t>
      </w:r>
      <w:r w:rsidRPr="007C5E6F">
        <w:rPr>
          <w:i/>
        </w:rPr>
        <w:t>moment of contingency</w:t>
      </w:r>
      <w:r w:rsidRPr="007C5E6F">
        <w:t xml:space="preserve"> (</w:t>
      </w:r>
      <w:proofErr w:type="spellStart"/>
      <w:r w:rsidRPr="007C5E6F">
        <w:t>Wiliam</w:t>
      </w:r>
      <w:proofErr w:type="spellEnd"/>
      <w:r w:rsidRPr="007C5E6F">
        <w:t xml:space="preserve">, 2006), where the instruction can tack based on how students perform the assigned task.  </w:t>
      </w:r>
      <w:proofErr w:type="spellStart"/>
      <w:r w:rsidRPr="00AF25D2">
        <w:t>Guskey</w:t>
      </w:r>
      <w:proofErr w:type="spellEnd"/>
      <w:r w:rsidRPr="00AF25D2">
        <w:t xml:space="preserve"> (200</w:t>
      </w:r>
      <w:r>
        <w:t>8</w:t>
      </w:r>
      <w:r w:rsidRPr="00AF25D2">
        <w:t xml:space="preserve">) points out, “Formative </w:t>
      </w:r>
      <w:r w:rsidRPr="00AF25D2">
        <w:lastRenderedPageBreak/>
        <w:t xml:space="preserve">assessments alone do little to improve student learning or teaching quality. </w:t>
      </w:r>
      <w:r>
        <w:t xml:space="preserve"> </w:t>
      </w:r>
      <w:r w:rsidRPr="00AF25D2">
        <w:t xml:space="preserve">What really counts is what happens after the assessments” (p. 1). </w:t>
      </w:r>
      <w:r>
        <w:t xml:space="preserve"> The process of providing feedback and correctives are paramount in the formative assessment process</w:t>
      </w:r>
      <w:r w:rsidRPr="00A64C90">
        <w:t xml:space="preserve">. </w:t>
      </w:r>
      <w:r>
        <w:t xml:space="preserve"> </w:t>
      </w:r>
      <w:r w:rsidRPr="00A64C90">
        <w:t xml:space="preserve">Black and </w:t>
      </w:r>
      <w:proofErr w:type="spellStart"/>
      <w:r w:rsidRPr="00A64C90">
        <w:t>Wiliam</w:t>
      </w:r>
      <w:proofErr w:type="spellEnd"/>
      <w:r w:rsidRPr="00A64C90">
        <w:t xml:space="preserve"> (1998) concluded, “the provision of challenging assignments and extensive feedback lead to greater student engagement and higher achievement” (p. 13). </w:t>
      </w:r>
    </w:p>
    <w:p w14:paraId="2ED62B50" w14:textId="77777777" w:rsidR="00841A9B" w:rsidRDefault="00841A9B" w:rsidP="00841A9B">
      <w:pPr>
        <w:pStyle w:val="BodyText"/>
      </w:pPr>
      <w:r>
        <w:t xml:space="preserve">Blooms’ work in developing </w:t>
      </w:r>
      <w:r w:rsidRPr="0045590E">
        <w:rPr>
          <w:i/>
        </w:rPr>
        <w:t>Mastery Learning</w:t>
      </w:r>
      <w:r>
        <w:t xml:space="preserve"> has been shown to significantly decrease the variation in student achievement (Bloom, 1968; </w:t>
      </w:r>
      <w:proofErr w:type="spellStart"/>
      <w:r>
        <w:t>Guskey</w:t>
      </w:r>
      <w:proofErr w:type="spellEnd"/>
      <w:r>
        <w:t xml:space="preserve">, 2005) .  Other instructional innovations such as </w:t>
      </w:r>
      <w:r w:rsidRPr="0045590E">
        <w:rPr>
          <w:i/>
        </w:rPr>
        <w:t>Personalized System of Instruction</w:t>
      </w:r>
      <w:r>
        <w:t xml:space="preserve"> (Keller, 1968) also have been shown to have positive impact on student learning.  A common thread between these programs is a corrective </w:t>
      </w:r>
      <w:r>
        <w:rPr>
          <w:i/>
        </w:rPr>
        <w:t>feedback process</w:t>
      </w:r>
      <w:r>
        <w:t xml:space="preserve"> and </w:t>
      </w:r>
      <w:r>
        <w:rPr>
          <w:i/>
        </w:rPr>
        <w:t xml:space="preserve">instructional alignment </w:t>
      </w:r>
      <w:r>
        <w:t xml:space="preserve">that occur </w:t>
      </w:r>
      <w:r w:rsidRPr="00A16940">
        <w:t xml:space="preserve">intermittently </w:t>
      </w:r>
      <w:r>
        <w:t xml:space="preserve">throughout the learning process.  </w:t>
      </w:r>
      <w:r w:rsidRPr="0063699A">
        <w:t xml:space="preserve">The purpose of formative assessment is to protect students from </w:t>
      </w:r>
      <w:r>
        <w:t>“</w:t>
      </w:r>
      <w:r w:rsidRPr="0063699A">
        <w:t xml:space="preserve">falling further and further behind if they </w:t>
      </w:r>
      <w:r>
        <w:t xml:space="preserve">missed a key point” </w:t>
      </w:r>
      <w:r w:rsidRPr="0063699A">
        <w:t xml:space="preserve"> </w:t>
      </w:r>
      <w:r>
        <w:t xml:space="preserve">(Keller, 1968, </w:t>
      </w:r>
      <w:r w:rsidRPr="0063699A">
        <w:t>p. 90).</w:t>
      </w:r>
      <w:r>
        <w:t xml:space="preserve">  In reviewing the research on both Mastery Learning and Personalized System of Instruction, </w:t>
      </w:r>
      <w:r w:rsidRPr="00CB1E0F">
        <w:t xml:space="preserve">Kulik, Kulik, and </w:t>
      </w:r>
      <w:proofErr w:type="spellStart"/>
      <w:r w:rsidRPr="00CB1E0F">
        <w:t>Bangert</w:t>
      </w:r>
      <w:proofErr w:type="spellEnd"/>
      <w:r w:rsidRPr="00CB1E0F">
        <w:t>-Drown</w:t>
      </w:r>
      <w:r>
        <w:t>s</w:t>
      </w:r>
      <w:r w:rsidRPr="00CB1E0F">
        <w:t xml:space="preserve"> (1990) reported that for studies showing strong effects</w:t>
      </w:r>
      <w:r>
        <w:t>,</w:t>
      </w:r>
      <w:r w:rsidRPr="00CB1E0F">
        <w:t xml:space="preserve"> one of the contributing factors was that “control students receive less quiz feedback than experimental students do. </w:t>
      </w:r>
      <w:r>
        <w:t xml:space="preserve"> </w:t>
      </w:r>
      <w:r w:rsidRPr="00CB1E0F">
        <w:t>Equating the amount of quiz feedback for experimental and control students reduces the size of the mastery effect”</w:t>
      </w:r>
      <w:r>
        <w:t xml:space="preserve"> (p.286). </w:t>
      </w:r>
    </w:p>
    <w:p w14:paraId="46D4E7FD" w14:textId="12F35AA5" w:rsidR="00B91761" w:rsidRPr="002F6120" w:rsidRDefault="00841A9B" w:rsidP="002F6120">
      <w:pPr>
        <w:pStyle w:val="BodyText"/>
        <w:rPr>
          <w:rFonts w:ascii="Times" w:hAnsi="Times" w:cs="Times"/>
          <w:color w:val="000000"/>
          <w:sz w:val="19"/>
          <w:szCs w:val="19"/>
        </w:rPr>
      </w:pPr>
      <w:r w:rsidRPr="00AF25D2">
        <w:t xml:space="preserve">Lastly, formative assessment should occur frequently. </w:t>
      </w:r>
      <w:r>
        <w:t xml:space="preserve"> </w:t>
      </w:r>
      <w:r w:rsidRPr="00AF25D2">
        <w:t>A midterm exam</w:t>
      </w:r>
      <w:r>
        <w:t>,</w:t>
      </w:r>
      <w:r w:rsidRPr="00AF25D2">
        <w:t xml:space="preserve"> while </w:t>
      </w:r>
      <w:r>
        <w:t xml:space="preserve">able to be used in a </w:t>
      </w:r>
      <w:r w:rsidRPr="00AF25D2">
        <w:t xml:space="preserve">more formative </w:t>
      </w:r>
      <w:r>
        <w:t>nature</w:t>
      </w:r>
      <w:r w:rsidRPr="00AF25D2">
        <w:t xml:space="preserve"> than the final exam</w:t>
      </w:r>
      <w:r>
        <w:t>,</w:t>
      </w:r>
      <w:r w:rsidRPr="00AF25D2">
        <w:t xml:space="preserve"> occurs too late for students or teachers to employ corrective actions.</w:t>
      </w:r>
      <w:r>
        <w:t xml:space="preserve"> </w:t>
      </w:r>
      <w:r w:rsidRPr="00AF25D2">
        <w:t xml:space="preserve"> Formative assessments should tie directly to what is being taught from unit to unit and the classroom instructor should be fully engaged in the process of selecting </w:t>
      </w:r>
      <w:r>
        <w:t xml:space="preserve">assessments </w:t>
      </w:r>
      <w:r w:rsidRPr="00AF25D2">
        <w:t xml:space="preserve">and evaluating student </w:t>
      </w:r>
      <w:r>
        <w:t xml:space="preserve">responses </w:t>
      </w:r>
      <w:r w:rsidRPr="00AF25D2">
        <w:t>(</w:t>
      </w:r>
      <w:proofErr w:type="spellStart"/>
      <w:r w:rsidRPr="00AF25D2">
        <w:t>Stiggins</w:t>
      </w:r>
      <w:proofErr w:type="spellEnd"/>
      <w:r w:rsidRPr="00AF25D2">
        <w:t>, 2004).</w:t>
      </w:r>
    </w:p>
    <w:p w14:paraId="7358C039" w14:textId="77777777" w:rsidR="00841A9B" w:rsidRDefault="00841A9B" w:rsidP="00841A9B">
      <w:pPr>
        <w:pStyle w:val="Heading2"/>
      </w:pPr>
      <w:r w:rsidRPr="0045590E">
        <w:lastRenderedPageBreak/>
        <w:t>Audience Response Systems (ARS)</w:t>
      </w:r>
    </w:p>
    <w:p w14:paraId="2ED348D0" w14:textId="77777777" w:rsidR="00841A9B" w:rsidRDefault="00841A9B" w:rsidP="00841A9B">
      <w:pPr>
        <w:pStyle w:val="BodyText"/>
      </w:pPr>
      <w:r>
        <w:t xml:space="preserve">Technological tools are a necessary part of addressing administrative issues related to formative assessment, after all if you cannot manage or interpret the data then you will not be able to effectively do formative assessment.  </w:t>
      </w:r>
      <w:proofErr w:type="spellStart"/>
      <w:r>
        <w:t>Stiggins</w:t>
      </w:r>
      <w:proofErr w:type="spellEnd"/>
      <w:r>
        <w:t xml:space="preserve"> (2004)</w:t>
      </w:r>
      <w:r w:rsidRPr="00AF25D2">
        <w:t xml:space="preserve"> argues that to make formative assessment a powerful tool we must, “provide teachers the tools they need to build classroom environments that promote learning through continuous student-involved assessment, record keeping and communication” (p. 26).</w:t>
      </w:r>
      <w:r>
        <w:t xml:space="preserve">  The ability to efficiently collect data from hundreds of students is one of the reasons that Audience Response Systems (ARS) have gained popularity.</w:t>
      </w:r>
    </w:p>
    <w:p w14:paraId="7A9D2202" w14:textId="01792318" w:rsidR="00841A9B" w:rsidRDefault="00841A9B" w:rsidP="00841A9B">
      <w:pPr>
        <w:pStyle w:val="BodyText"/>
      </w:pPr>
      <w:r>
        <w:t>ARS are devices that allow polling of groups of people, the responses from which are aggregated and displayed for instructor to utilize.  These systems have evolved from direct wire systems to infrared to radio frequency devices.  The explosion of Internet enabled smart phones allows has also emerged as another mechanism to deploy ARS software.</w:t>
      </w:r>
    </w:p>
    <w:p w14:paraId="4BE74126" w14:textId="77777777" w:rsidR="003117A2" w:rsidRDefault="003117A2" w:rsidP="00841A9B">
      <w:pPr>
        <w:pStyle w:val="BodyText"/>
      </w:pPr>
    </w:p>
    <w:p w14:paraId="6D5AA45A" w14:textId="77777777" w:rsidR="00841A9B" w:rsidRDefault="00841A9B" w:rsidP="00EE5F4B">
      <w:pPr>
        <w:pStyle w:val="Heading1"/>
      </w:pPr>
      <w:r w:rsidRPr="00746819">
        <w:t>METHOD</w:t>
      </w:r>
    </w:p>
    <w:p w14:paraId="5F1CBCD6" w14:textId="6C2F0739" w:rsidR="009A5E21" w:rsidRDefault="00841A9B" w:rsidP="009A5E21">
      <w:pPr>
        <w:pStyle w:val="BodyText"/>
      </w:pPr>
      <w:r>
        <w:t>In order to explore the instructional experiences of this sample of engineering undergraduates,  a survey was conducted at a research-intensive university framed by the question, “what should we be doing with instructional technology in engineering education?” The</w:t>
      </w:r>
      <w:r w:rsidRPr="00BA7F3E">
        <w:t xml:space="preserve"> presented </w:t>
      </w:r>
      <w:r>
        <w:t>results are meant to be</w:t>
      </w:r>
      <w:r w:rsidRPr="00BA7F3E">
        <w:t xml:space="preserve"> instrument</w:t>
      </w:r>
      <w:r>
        <w:t xml:space="preserve">al </w:t>
      </w:r>
      <w:r w:rsidRPr="00BA7F3E">
        <w:t xml:space="preserve">(Stake, </w:t>
      </w:r>
      <w:r>
        <w:t>2003</w:t>
      </w:r>
      <w:r w:rsidRPr="00BA7F3E">
        <w:t>)</w:t>
      </w:r>
      <w:r>
        <w:t>, in that its purpose is</w:t>
      </w:r>
      <w:r w:rsidRPr="00BA7F3E">
        <w:t xml:space="preserve"> </w:t>
      </w:r>
      <w:r>
        <w:t>“</w:t>
      </w:r>
      <w:r w:rsidRPr="00BA7F3E">
        <w:t>t</w:t>
      </w:r>
      <w:r>
        <w:t>o provide insight into an issue</w:t>
      </w:r>
      <w:r w:rsidRPr="00BA7F3E">
        <w:t xml:space="preserve">" </w:t>
      </w:r>
      <w:r>
        <w:t>(p. 137) and</w:t>
      </w:r>
      <w:r w:rsidRPr="00BA7F3E">
        <w:t xml:space="preserve"> </w:t>
      </w:r>
      <w:r>
        <w:t>enrich</w:t>
      </w:r>
      <w:r w:rsidRPr="00BA7F3E">
        <w:t xml:space="preserve"> un</w:t>
      </w:r>
      <w:r w:rsidR="00F82E59">
        <w:t>derstanding of a larger issue.</w:t>
      </w:r>
    </w:p>
    <w:p w14:paraId="1F34ED25" w14:textId="77777777" w:rsidR="00F82E59" w:rsidRDefault="00F82E59" w:rsidP="009A5E21">
      <w:pPr>
        <w:pStyle w:val="BodyText"/>
      </w:pPr>
    </w:p>
    <w:p w14:paraId="07990A23" w14:textId="77777777" w:rsidR="00F82E59" w:rsidRDefault="00F82E59" w:rsidP="00F82E59">
      <w:pPr>
        <w:pStyle w:val="BodyText"/>
        <w:ind w:firstLine="0"/>
        <w:jc w:val="both"/>
        <w:rPr>
          <w:b/>
        </w:rPr>
      </w:pPr>
      <w:r w:rsidRPr="005527C5">
        <w:rPr>
          <w:b/>
        </w:rPr>
        <w:t>Instrumentation</w:t>
      </w:r>
      <w:r>
        <w:rPr>
          <w:b/>
        </w:rPr>
        <w:t xml:space="preserve"> and Survey Design</w:t>
      </w:r>
    </w:p>
    <w:p w14:paraId="1526A1D5" w14:textId="77777777" w:rsidR="00F82E59" w:rsidRDefault="00F82E59" w:rsidP="00F82E59">
      <w:pPr>
        <w:pStyle w:val="BodyText"/>
      </w:pPr>
      <w:r>
        <w:t xml:space="preserve">In the ten item survey, students were asked to think of their most and least effective classes.  For each of these scenarios, they were asked to indicate which instructional techniques </w:t>
      </w:r>
      <w:r>
        <w:lastRenderedPageBreak/>
        <w:t xml:space="preserve">were used </w:t>
      </w:r>
      <w:r w:rsidRPr="0045590E">
        <w:t>during class</w:t>
      </w:r>
      <w:r>
        <w:t xml:space="preserve"> as well as provide information about their attendance, final grade and persistence of knowledge.  The last factor, persistence of knowledge, asked students to rate their mastery of the content from “Not at all – 1” to “Could teach it – 5”.</w:t>
      </w:r>
    </w:p>
    <w:p w14:paraId="495FF1E1" w14:textId="052914B7" w:rsidR="00841A9B" w:rsidRDefault="00F82E59" w:rsidP="004367D0">
      <w:pPr>
        <w:pStyle w:val="BodyText"/>
      </w:pPr>
      <w:r>
        <w:t>The instructional techniques were generated from two one hour interview sessions with a focus group of five engineering students (four seniors and a junior). The list of techniques generated included: taking notes, working problems, responding to questions, listening to lectu</w:t>
      </w:r>
      <w:r w:rsidR="00B273E6">
        <w:t xml:space="preserve">re, group work, peer discussion, </w:t>
      </w:r>
      <w:r>
        <w:t>demons</w:t>
      </w:r>
      <w:r w:rsidR="00B273E6">
        <w:t xml:space="preserve">trations and clickers. As stated previously, the clickers </w:t>
      </w:r>
      <w:r>
        <w:t xml:space="preserve">option was added to the list because </w:t>
      </w:r>
      <w:r w:rsidR="00B273E6">
        <w:t>the use of them</w:t>
      </w:r>
      <w:r>
        <w:t xml:space="preserve"> was suggested to engineering faculty who visited other universities</w:t>
      </w:r>
      <w:r w:rsidR="00B273E6">
        <w:t>.</w:t>
      </w:r>
    </w:p>
    <w:p w14:paraId="0F088DC0" w14:textId="1F440B70" w:rsidR="00B273E6" w:rsidRPr="003117A2" w:rsidRDefault="00B273E6" w:rsidP="004367D0">
      <w:pPr>
        <w:pStyle w:val="BodyText"/>
      </w:pPr>
      <w:r w:rsidRPr="007A22A8">
        <w:t xml:space="preserve">The core ideas of Knowledge Management (KM) are rooted in the transition within and between tacit and explicit forms of </w:t>
      </w:r>
      <w:r w:rsidRPr="003117A2">
        <w:t>knowledge. Explicit knowledge encapsulates all knowledge that can be documented, codified and stored. For KM applications in an educational setting one way of thinking about explicit data is using the ideas of proximal and distal data (Bain</w:t>
      </w:r>
      <w:r w:rsidR="00EB6017" w:rsidRPr="003117A2">
        <w:t xml:space="preserve"> &amp; Parkes</w:t>
      </w:r>
      <w:r w:rsidRPr="003117A2">
        <w:t xml:space="preserve">, 2006). </w:t>
      </w:r>
      <w:r w:rsidR="00D91A17">
        <w:rPr>
          <w:szCs w:val="30"/>
        </w:rPr>
        <w:t>Distal</w:t>
      </w:r>
      <w:r w:rsidR="003117A2" w:rsidRPr="00C16C14">
        <w:rPr>
          <w:szCs w:val="30"/>
        </w:rPr>
        <w:t xml:space="preserve"> data</w:t>
      </w:r>
      <w:r w:rsidR="00D91A17">
        <w:rPr>
          <w:szCs w:val="30"/>
        </w:rPr>
        <w:t>,</w:t>
      </w:r>
      <w:r w:rsidR="003117A2" w:rsidRPr="00C16C14">
        <w:rPr>
          <w:szCs w:val="30"/>
        </w:rPr>
        <w:t xml:space="preserve"> while related to learning and teaching, </w:t>
      </w:r>
      <w:r w:rsidR="003117A2">
        <w:rPr>
          <w:szCs w:val="30"/>
        </w:rPr>
        <w:t>are</w:t>
      </w:r>
      <w:r w:rsidR="003117A2" w:rsidRPr="00C16C14">
        <w:rPr>
          <w:szCs w:val="30"/>
        </w:rPr>
        <w:t xml:space="preserve"> </w:t>
      </w:r>
      <w:r w:rsidR="00D91A17">
        <w:rPr>
          <w:szCs w:val="30"/>
        </w:rPr>
        <w:t>more</w:t>
      </w:r>
      <w:r w:rsidR="003117A2" w:rsidRPr="00C16C14">
        <w:rPr>
          <w:szCs w:val="30"/>
        </w:rPr>
        <w:t xml:space="preserve"> removed from specific classroom transactions and work patterns that are </w:t>
      </w:r>
      <w:r w:rsidR="00D91A17">
        <w:rPr>
          <w:szCs w:val="30"/>
        </w:rPr>
        <w:t>taking place</w:t>
      </w:r>
      <w:r w:rsidR="003117A2" w:rsidRPr="00C16C14">
        <w:rPr>
          <w:szCs w:val="30"/>
        </w:rPr>
        <w:t xml:space="preserve">. </w:t>
      </w:r>
      <w:r w:rsidR="00D91A17" w:rsidRPr="003117A2">
        <w:t>Distal data, while critical to making evidenced-based decisions, it “is not sufficiently focused on the critical work processes and patterns of schooling to deliver the benefits expected from KM”.</w:t>
      </w:r>
      <w:r w:rsidR="00D91A17">
        <w:t xml:space="preserve"> </w:t>
      </w:r>
      <w:r w:rsidR="00D91A17">
        <w:rPr>
          <w:szCs w:val="30"/>
        </w:rPr>
        <w:t>S</w:t>
      </w:r>
      <w:r w:rsidR="003117A2" w:rsidRPr="00C16C14">
        <w:rPr>
          <w:szCs w:val="30"/>
        </w:rPr>
        <w:t>t</w:t>
      </w:r>
      <w:r w:rsidR="003117A2">
        <w:rPr>
          <w:szCs w:val="30"/>
        </w:rPr>
        <w:t>udent demographics, attendance</w:t>
      </w:r>
      <w:r w:rsidR="00D91A17">
        <w:rPr>
          <w:szCs w:val="30"/>
        </w:rPr>
        <w:t xml:space="preserve">, behavioral incidents, </w:t>
      </w:r>
      <w:r w:rsidR="003117A2" w:rsidRPr="00C16C14">
        <w:rPr>
          <w:szCs w:val="30"/>
        </w:rPr>
        <w:t xml:space="preserve">suspensions, and </w:t>
      </w:r>
      <w:r w:rsidR="00D91A17">
        <w:rPr>
          <w:szCs w:val="30"/>
        </w:rPr>
        <w:t>even grades are examples of distal data. While they do provide indicators of success, their ability to inform organizational improvement is limited without connecting them to the context of the classroom</w:t>
      </w:r>
      <w:r w:rsidR="003117A2" w:rsidRPr="00C16C14">
        <w:rPr>
          <w:szCs w:val="30"/>
        </w:rPr>
        <w:t>.</w:t>
      </w:r>
      <w:r w:rsidR="00D91A17">
        <w:rPr>
          <w:szCs w:val="30"/>
        </w:rPr>
        <w:t xml:space="preserve"> </w:t>
      </w:r>
      <w:r w:rsidRPr="003117A2">
        <w:t xml:space="preserve">In addition to distal data, schools also need to include in their data pools sources that emerge directly from the activity of students and teachers in classrooms. </w:t>
      </w:r>
      <w:r w:rsidR="003117A2">
        <w:t xml:space="preserve">Looking at the various sources of data available at the college the researchers found none that specifically referenced the use of instructional </w:t>
      </w:r>
      <w:r w:rsidR="003117A2">
        <w:lastRenderedPageBreak/>
        <w:t>techniques. That absence of information was the driver to the design of the survey instrument used in this study.</w:t>
      </w:r>
    </w:p>
    <w:p w14:paraId="4C7A646E" w14:textId="77777777" w:rsidR="00F82E59" w:rsidRPr="00D24162" w:rsidRDefault="00F82E59" w:rsidP="00F82E59">
      <w:pPr>
        <w:pStyle w:val="BodyText"/>
      </w:pPr>
    </w:p>
    <w:p w14:paraId="00CF0ED9" w14:textId="77777777" w:rsidR="00841A9B" w:rsidRPr="00746819" w:rsidRDefault="00841A9B" w:rsidP="00841A9B">
      <w:pPr>
        <w:pStyle w:val="BodyText"/>
        <w:ind w:firstLine="0"/>
        <w:jc w:val="both"/>
        <w:rPr>
          <w:b/>
        </w:rPr>
      </w:pPr>
      <w:r w:rsidRPr="00746819">
        <w:rPr>
          <w:b/>
        </w:rPr>
        <w:t>Participants</w:t>
      </w:r>
    </w:p>
    <w:p w14:paraId="22794099" w14:textId="5549C07A" w:rsidR="00E06032" w:rsidRDefault="00841A9B" w:rsidP="00841A9B">
      <w:pPr>
        <w:pStyle w:val="BodyText"/>
      </w:pPr>
      <w:r>
        <w:t>The survey of instructional experiences was sent to all undergraduate students in the College of Engineering, across all fields</w:t>
      </w:r>
      <w:r w:rsidR="00EE5F4B">
        <w:t xml:space="preserve"> except </w:t>
      </w:r>
      <w:r>
        <w:t>.  Approximately 15% of the college of engineering student undergraduate population responded to the survey (n = 2</w:t>
      </w:r>
      <w:r w:rsidR="00E06032">
        <w:t>7</w:t>
      </w:r>
      <w:r>
        <w:t>6).</w:t>
      </w:r>
      <w:r w:rsidR="00EE5F4B">
        <w:t xml:space="preserve"> The number of responses from each department are shown in table 1.</w:t>
      </w:r>
    </w:p>
    <w:p w14:paraId="20AFF60B" w14:textId="77777777" w:rsidR="00E70D39" w:rsidRDefault="00E70D39" w:rsidP="00E70D39">
      <w:pPr>
        <w:pStyle w:val="TableHeading"/>
      </w:pPr>
      <w:r w:rsidRPr="00AF25D2">
        <w:t xml:space="preserve">Table </w:t>
      </w:r>
      <w:r>
        <w:t>1</w:t>
      </w:r>
    </w:p>
    <w:p w14:paraId="197EB56A" w14:textId="77777777" w:rsidR="00E70D39" w:rsidRPr="00E70D39" w:rsidRDefault="00E70D39" w:rsidP="00E70D39">
      <w:pPr>
        <w:pStyle w:val="TableHeading"/>
        <w:rPr>
          <w:i/>
        </w:rPr>
      </w:pPr>
      <w:r>
        <w:rPr>
          <w:i/>
        </w:rPr>
        <w:t>Number of survey participants by department</w:t>
      </w:r>
    </w:p>
    <w:tbl>
      <w:tblPr>
        <w:tblW w:w="5000" w:type="pct"/>
        <w:tblBorders>
          <w:top w:val="single" w:sz="4" w:space="0" w:color="auto"/>
          <w:bottom w:val="single" w:sz="4" w:space="0" w:color="auto"/>
        </w:tblBorders>
        <w:tblLook w:val="04A0" w:firstRow="1" w:lastRow="0" w:firstColumn="1" w:lastColumn="0" w:noHBand="0" w:noVBand="1"/>
      </w:tblPr>
      <w:tblGrid>
        <w:gridCol w:w="4723"/>
        <w:gridCol w:w="4637"/>
      </w:tblGrid>
      <w:tr w:rsidR="00E70D39" w:rsidRPr="00E06032" w14:paraId="1F05BB64" w14:textId="77777777" w:rsidTr="00901EE3">
        <w:trPr>
          <w:trHeight w:val="233"/>
        </w:trPr>
        <w:tc>
          <w:tcPr>
            <w:tcW w:w="2523" w:type="pct"/>
            <w:tcBorders>
              <w:top w:val="single" w:sz="4" w:space="0" w:color="auto"/>
              <w:bottom w:val="single" w:sz="4" w:space="0" w:color="auto"/>
            </w:tcBorders>
            <w:shd w:val="clear" w:color="auto" w:fill="auto"/>
            <w:noWrap/>
            <w:vAlign w:val="bottom"/>
          </w:tcPr>
          <w:p w14:paraId="2D026230" w14:textId="77777777" w:rsidR="00E70D39" w:rsidRPr="00E70D39" w:rsidRDefault="00E70D39" w:rsidP="00901EE3">
            <w:pPr>
              <w:rPr>
                <w:rFonts w:ascii="Times New Roman" w:hAnsi="Times New Roman"/>
              </w:rPr>
            </w:pPr>
            <w:r w:rsidRPr="00E70D39">
              <w:rPr>
                <w:rFonts w:ascii="Times New Roman" w:hAnsi="Times New Roman"/>
              </w:rPr>
              <w:t>Department</w:t>
            </w:r>
          </w:p>
        </w:tc>
        <w:tc>
          <w:tcPr>
            <w:tcW w:w="2477" w:type="pct"/>
            <w:tcBorders>
              <w:top w:val="single" w:sz="4" w:space="0" w:color="auto"/>
              <w:bottom w:val="single" w:sz="4" w:space="0" w:color="auto"/>
            </w:tcBorders>
            <w:shd w:val="clear" w:color="auto" w:fill="auto"/>
            <w:noWrap/>
            <w:vAlign w:val="bottom"/>
          </w:tcPr>
          <w:p w14:paraId="4F7D8FE2" w14:textId="77777777" w:rsidR="00E70D39" w:rsidRPr="00E70D39" w:rsidRDefault="00E70D39" w:rsidP="00901EE3">
            <w:pPr>
              <w:jc w:val="center"/>
              <w:rPr>
                <w:rFonts w:ascii="Times New Roman" w:hAnsi="Times New Roman"/>
              </w:rPr>
            </w:pPr>
            <w:r w:rsidRPr="00E70D39">
              <w:rPr>
                <w:rFonts w:ascii="Times New Roman" w:hAnsi="Times New Roman"/>
              </w:rPr>
              <w:t>Number of participants</w:t>
            </w:r>
          </w:p>
        </w:tc>
      </w:tr>
      <w:tr w:rsidR="00E06032" w:rsidRPr="00E06032" w14:paraId="5A8AD3C2" w14:textId="77777777" w:rsidTr="00901EE3">
        <w:trPr>
          <w:trHeight w:val="377"/>
        </w:trPr>
        <w:tc>
          <w:tcPr>
            <w:tcW w:w="2523" w:type="pct"/>
            <w:tcBorders>
              <w:top w:val="single" w:sz="4" w:space="0" w:color="auto"/>
            </w:tcBorders>
            <w:shd w:val="clear" w:color="auto" w:fill="auto"/>
            <w:noWrap/>
            <w:vAlign w:val="bottom"/>
            <w:hideMark/>
          </w:tcPr>
          <w:p w14:paraId="39F2A4E0" w14:textId="77777777" w:rsidR="00E06032" w:rsidRPr="00E70D39" w:rsidRDefault="00E06032" w:rsidP="00901EE3">
            <w:pPr>
              <w:rPr>
                <w:rFonts w:ascii="Times New Roman" w:hAnsi="Times New Roman"/>
              </w:rPr>
            </w:pPr>
            <w:r w:rsidRPr="00E70D39">
              <w:rPr>
                <w:rFonts w:ascii="Times New Roman" w:hAnsi="Times New Roman"/>
              </w:rPr>
              <w:t>A</w:t>
            </w:r>
            <w:r w:rsidR="00E70D39" w:rsidRPr="00E70D39">
              <w:rPr>
                <w:rFonts w:ascii="Times New Roman" w:hAnsi="Times New Roman"/>
              </w:rPr>
              <w:t>gricultural Engineering</w:t>
            </w:r>
          </w:p>
        </w:tc>
        <w:tc>
          <w:tcPr>
            <w:tcW w:w="2477" w:type="pct"/>
            <w:tcBorders>
              <w:top w:val="single" w:sz="4" w:space="0" w:color="auto"/>
            </w:tcBorders>
            <w:shd w:val="clear" w:color="auto" w:fill="auto"/>
            <w:noWrap/>
            <w:vAlign w:val="bottom"/>
            <w:hideMark/>
          </w:tcPr>
          <w:p w14:paraId="2CABEC09" w14:textId="77777777" w:rsidR="00E06032" w:rsidRPr="00E70D39" w:rsidRDefault="00E70D39" w:rsidP="00901EE3">
            <w:pPr>
              <w:jc w:val="center"/>
              <w:rPr>
                <w:rFonts w:ascii="Times New Roman" w:hAnsi="Times New Roman"/>
              </w:rPr>
            </w:pPr>
            <w:r w:rsidRPr="00E70D39">
              <w:rPr>
                <w:rFonts w:ascii="Times New Roman" w:hAnsi="Times New Roman"/>
              </w:rPr>
              <w:t>1</w:t>
            </w:r>
            <w:r w:rsidR="00E06032" w:rsidRPr="00E70D39">
              <w:rPr>
                <w:rFonts w:ascii="Times New Roman" w:hAnsi="Times New Roman"/>
              </w:rPr>
              <w:t>4</w:t>
            </w:r>
          </w:p>
        </w:tc>
      </w:tr>
      <w:tr w:rsidR="00E06032" w:rsidRPr="00E06032" w14:paraId="55F76D23" w14:textId="77777777" w:rsidTr="00E70D39">
        <w:trPr>
          <w:trHeight w:val="240"/>
        </w:trPr>
        <w:tc>
          <w:tcPr>
            <w:tcW w:w="2523" w:type="pct"/>
            <w:shd w:val="clear" w:color="auto" w:fill="auto"/>
            <w:noWrap/>
            <w:vAlign w:val="bottom"/>
            <w:hideMark/>
          </w:tcPr>
          <w:p w14:paraId="1AEAA60D" w14:textId="77777777" w:rsidR="00E06032" w:rsidRPr="00E70D39" w:rsidRDefault="00E06032" w:rsidP="00901EE3">
            <w:pPr>
              <w:rPr>
                <w:rFonts w:ascii="Times New Roman" w:hAnsi="Times New Roman"/>
              </w:rPr>
            </w:pPr>
            <w:r w:rsidRPr="00E70D39">
              <w:rPr>
                <w:rFonts w:ascii="Times New Roman" w:hAnsi="Times New Roman"/>
              </w:rPr>
              <w:t>C</w:t>
            </w:r>
            <w:r w:rsidR="00E70D39" w:rsidRPr="00E70D39">
              <w:rPr>
                <w:rFonts w:ascii="Times New Roman" w:hAnsi="Times New Roman"/>
              </w:rPr>
              <w:t>ivil Engineering</w:t>
            </w:r>
          </w:p>
        </w:tc>
        <w:tc>
          <w:tcPr>
            <w:tcW w:w="2477" w:type="pct"/>
            <w:shd w:val="clear" w:color="auto" w:fill="auto"/>
            <w:noWrap/>
            <w:vAlign w:val="bottom"/>
            <w:hideMark/>
          </w:tcPr>
          <w:p w14:paraId="36F0FBC4" w14:textId="77777777" w:rsidR="00E06032" w:rsidRPr="00E70D39" w:rsidRDefault="00E06032" w:rsidP="00901EE3">
            <w:pPr>
              <w:jc w:val="center"/>
              <w:rPr>
                <w:rFonts w:ascii="Times New Roman" w:hAnsi="Times New Roman"/>
              </w:rPr>
            </w:pPr>
            <w:r w:rsidRPr="00E70D39">
              <w:rPr>
                <w:rFonts w:ascii="Times New Roman" w:hAnsi="Times New Roman"/>
              </w:rPr>
              <w:t>37</w:t>
            </w:r>
          </w:p>
        </w:tc>
      </w:tr>
      <w:tr w:rsidR="00E06032" w:rsidRPr="00E06032" w14:paraId="72A1299A" w14:textId="77777777" w:rsidTr="00E70D39">
        <w:trPr>
          <w:trHeight w:val="240"/>
        </w:trPr>
        <w:tc>
          <w:tcPr>
            <w:tcW w:w="2523" w:type="pct"/>
            <w:shd w:val="clear" w:color="auto" w:fill="auto"/>
            <w:noWrap/>
            <w:vAlign w:val="bottom"/>
            <w:hideMark/>
          </w:tcPr>
          <w:p w14:paraId="1022B6E1" w14:textId="77777777" w:rsidR="00E06032" w:rsidRPr="00E70D39" w:rsidRDefault="00E06032" w:rsidP="00901EE3">
            <w:pPr>
              <w:rPr>
                <w:rFonts w:ascii="Times New Roman" w:hAnsi="Times New Roman"/>
              </w:rPr>
            </w:pPr>
            <w:r w:rsidRPr="00E70D39">
              <w:rPr>
                <w:rFonts w:ascii="Times New Roman" w:hAnsi="Times New Roman"/>
              </w:rPr>
              <w:t>C</w:t>
            </w:r>
            <w:r w:rsidR="00E70D39" w:rsidRPr="00E70D39">
              <w:rPr>
                <w:rFonts w:ascii="Times New Roman" w:hAnsi="Times New Roman"/>
              </w:rPr>
              <w:t xml:space="preserve">hemical and </w:t>
            </w:r>
            <w:r w:rsidRPr="00E70D39">
              <w:rPr>
                <w:rFonts w:ascii="Times New Roman" w:hAnsi="Times New Roman"/>
              </w:rPr>
              <w:t>M</w:t>
            </w:r>
            <w:r w:rsidR="00E70D39" w:rsidRPr="00E70D39">
              <w:rPr>
                <w:rFonts w:ascii="Times New Roman" w:hAnsi="Times New Roman"/>
              </w:rPr>
              <w:t xml:space="preserve">aterials </w:t>
            </w:r>
            <w:r w:rsidRPr="00E70D39">
              <w:rPr>
                <w:rFonts w:ascii="Times New Roman" w:hAnsi="Times New Roman"/>
              </w:rPr>
              <w:t>E</w:t>
            </w:r>
            <w:r w:rsidR="00E70D39" w:rsidRPr="00E70D39">
              <w:rPr>
                <w:rFonts w:ascii="Times New Roman" w:hAnsi="Times New Roman"/>
              </w:rPr>
              <w:t>ngineering</w:t>
            </w:r>
          </w:p>
        </w:tc>
        <w:tc>
          <w:tcPr>
            <w:tcW w:w="2477" w:type="pct"/>
            <w:shd w:val="clear" w:color="auto" w:fill="auto"/>
            <w:noWrap/>
            <w:vAlign w:val="bottom"/>
            <w:hideMark/>
          </w:tcPr>
          <w:p w14:paraId="1ECE7D14" w14:textId="77777777" w:rsidR="00E06032" w:rsidRPr="00E70D39" w:rsidRDefault="00E06032" w:rsidP="00901EE3">
            <w:pPr>
              <w:jc w:val="center"/>
              <w:rPr>
                <w:rFonts w:ascii="Times New Roman" w:hAnsi="Times New Roman"/>
              </w:rPr>
            </w:pPr>
            <w:r w:rsidRPr="00E70D39">
              <w:rPr>
                <w:rFonts w:ascii="Times New Roman" w:hAnsi="Times New Roman"/>
              </w:rPr>
              <w:t>30</w:t>
            </w:r>
          </w:p>
        </w:tc>
      </w:tr>
      <w:tr w:rsidR="00E06032" w:rsidRPr="00E06032" w14:paraId="18C20BB2" w14:textId="77777777" w:rsidTr="00E70D39">
        <w:trPr>
          <w:trHeight w:val="240"/>
        </w:trPr>
        <w:tc>
          <w:tcPr>
            <w:tcW w:w="2523" w:type="pct"/>
            <w:shd w:val="clear" w:color="auto" w:fill="auto"/>
            <w:noWrap/>
            <w:vAlign w:val="bottom"/>
            <w:hideMark/>
          </w:tcPr>
          <w:p w14:paraId="2BC5E1C6" w14:textId="77777777" w:rsidR="00E06032" w:rsidRPr="00E70D39" w:rsidRDefault="00E70D39" w:rsidP="00901EE3">
            <w:pPr>
              <w:rPr>
                <w:rFonts w:ascii="Times New Roman" w:hAnsi="Times New Roman"/>
              </w:rPr>
            </w:pPr>
            <w:r w:rsidRPr="00E70D39">
              <w:rPr>
                <w:rFonts w:ascii="Times New Roman" w:hAnsi="Times New Roman"/>
              </w:rPr>
              <w:t xml:space="preserve">Electrical Engineering &amp; </w:t>
            </w:r>
            <w:r w:rsidR="00E06032" w:rsidRPr="00E70D39">
              <w:rPr>
                <w:rFonts w:ascii="Times New Roman" w:hAnsi="Times New Roman"/>
              </w:rPr>
              <w:t>C</w:t>
            </w:r>
            <w:r w:rsidRPr="00E70D39">
              <w:rPr>
                <w:rFonts w:ascii="Times New Roman" w:hAnsi="Times New Roman"/>
              </w:rPr>
              <w:t>omputer Science</w:t>
            </w:r>
          </w:p>
        </w:tc>
        <w:tc>
          <w:tcPr>
            <w:tcW w:w="2477" w:type="pct"/>
            <w:shd w:val="clear" w:color="auto" w:fill="auto"/>
            <w:noWrap/>
            <w:vAlign w:val="bottom"/>
            <w:hideMark/>
          </w:tcPr>
          <w:p w14:paraId="617320E6" w14:textId="77777777" w:rsidR="00E06032" w:rsidRPr="00E70D39" w:rsidRDefault="00E70D39" w:rsidP="00901EE3">
            <w:pPr>
              <w:jc w:val="center"/>
              <w:rPr>
                <w:rFonts w:ascii="Times New Roman" w:hAnsi="Times New Roman"/>
              </w:rPr>
            </w:pPr>
            <w:r w:rsidRPr="00E70D39">
              <w:rPr>
                <w:rFonts w:ascii="Times New Roman" w:hAnsi="Times New Roman"/>
              </w:rPr>
              <w:t>66</w:t>
            </w:r>
          </w:p>
        </w:tc>
      </w:tr>
      <w:tr w:rsidR="00E06032" w:rsidRPr="00E06032" w14:paraId="0E6ED1BF" w14:textId="77777777" w:rsidTr="00E70D39">
        <w:trPr>
          <w:trHeight w:val="240"/>
        </w:trPr>
        <w:tc>
          <w:tcPr>
            <w:tcW w:w="2523" w:type="pct"/>
            <w:shd w:val="clear" w:color="auto" w:fill="auto"/>
            <w:noWrap/>
            <w:vAlign w:val="bottom"/>
            <w:hideMark/>
          </w:tcPr>
          <w:p w14:paraId="674773F8" w14:textId="77777777" w:rsidR="00E06032" w:rsidRPr="00E70D39" w:rsidRDefault="00E06032" w:rsidP="00901EE3">
            <w:pPr>
              <w:rPr>
                <w:rFonts w:ascii="Times New Roman" w:hAnsi="Times New Roman"/>
              </w:rPr>
            </w:pPr>
            <w:r w:rsidRPr="00E70D39">
              <w:rPr>
                <w:rFonts w:ascii="Times New Roman" w:hAnsi="Times New Roman"/>
              </w:rPr>
              <w:t>M</w:t>
            </w:r>
            <w:r w:rsidR="00E70D39" w:rsidRPr="00E70D39">
              <w:rPr>
                <w:rFonts w:ascii="Times New Roman" w:hAnsi="Times New Roman"/>
              </w:rPr>
              <w:t xml:space="preserve">echanical </w:t>
            </w:r>
            <w:r w:rsidRPr="00E70D39">
              <w:rPr>
                <w:rFonts w:ascii="Times New Roman" w:hAnsi="Times New Roman"/>
              </w:rPr>
              <w:t>E</w:t>
            </w:r>
            <w:r w:rsidR="00E70D39" w:rsidRPr="00E70D39">
              <w:rPr>
                <w:rFonts w:ascii="Times New Roman" w:hAnsi="Times New Roman"/>
              </w:rPr>
              <w:t>ngineering</w:t>
            </w:r>
          </w:p>
        </w:tc>
        <w:tc>
          <w:tcPr>
            <w:tcW w:w="2477" w:type="pct"/>
            <w:shd w:val="clear" w:color="auto" w:fill="auto"/>
            <w:noWrap/>
            <w:vAlign w:val="bottom"/>
            <w:hideMark/>
          </w:tcPr>
          <w:p w14:paraId="3B38D5CC" w14:textId="77777777" w:rsidR="00E06032" w:rsidRPr="00E70D39" w:rsidRDefault="00E06032" w:rsidP="00901EE3">
            <w:pPr>
              <w:jc w:val="center"/>
              <w:rPr>
                <w:rFonts w:ascii="Times New Roman" w:hAnsi="Times New Roman"/>
              </w:rPr>
            </w:pPr>
            <w:r w:rsidRPr="00E70D39">
              <w:rPr>
                <w:rFonts w:ascii="Times New Roman" w:hAnsi="Times New Roman"/>
              </w:rPr>
              <w:t>98</w:t>
            </w:r>
          </w:p>
        </w:tc>
      </w:tr>
      <w:tr w:rsidR="00E06032" w:rsidRPr="00E06032" w14:paraId="51D22153" w14:textId="77777777" w:rsidTr="00901EE3">
        <w:trPr>
          <w:trHeight w:val="243"/>
        </w:trPr>
        <w:tc>
          <w:tcPr>
            <w:tcW w:w="2523" w:type="pct"/>
            <w:shd w:val="clear" w:color="auto" w:fill="auto"/>
            <w:noWrap/>
            <w:vAlign w:val="bottom"/>
            <w:hideMark/>
          </w:tcPr>
          <w:p w14:paraId="4C714FAC" w14:textId="77777777" w:rsidR="00E06032" w:rsidRPr="00E70D39" w:rsidRDefault="00E06032" w:rsidP="00901EE3">
            <w:pPr>
              <w:rPr>
                <w:rFonts w:ascii="Times New Roman" w:hAnsi="Times New Roman"/>
              </w:rPr>
            </w:pPr>
            <w:r w:rsidRPr="00E70D39">
              <w:rPr>
                <w:rFonts w:ascii="Times New Roman" w:hAnsi="Times New Roman"/>
              </w:rPr>
              <w:t>M</w:t>
            </w:r>
            <w:r w:rsidR="00E70D39" w:rsidRPr="00E70D39">
              <w:rPr>
                <w:rFonts w:ascii="Times New Roman" w:hAnsi="Times New Roman"/>
              </w:rPr>
              <w:t>ining Engineering</w:t>
            </w:r>
          </w:p>
        </w:tc>
        <w:tc>
          <w:tcPr>
            <w:tcW w:w="2477" w:type="pct"/>
            <w:shd w:val="clear" w:color="auto" w:fill="auto"/>
            <w:noWrap/>
            <w:vAlign w:val="bottom"/>
            <w:hideMark/>
          </w:tcPr>
          <w:p w14:paraId="320A57AC" w14:textId="77777777" w:rsidR="00E06032" w:rsidRPr="00E70D39" w:rsidRDefault="00E06032" w:rsidP="00901EE3">
            <w:pPr>
              <w:jc w:val="center"/>
              <w:rPr>
                <w:rFonts w:ascii="Times New Roman" w:hAnsi="Times New Roman"/>
              </w:rPr>
            </w:pPr>
            <w:r w:rsidRPr="00E70D39">
              <w:rPr>
                <w:rFonts w:ascii="Times New Roman" w:hAnsi="Times New Roman"/>
              </w:rPr>
              <w:t>31</w:t>
            </w:r>
          </w:p>
        </w:tc>
      </w:tr>
    </w:tbl>
    <w:p w14:paraId="1A8CCDC2" w14:textId="77777777" w:rsidR="00841A9B" w:rsidRPr="005527C5" w:rsidRDefault="00841A9B" w:rsidP="00841A9B">
      <w:pPr>
        <w:pStyle w:val="BodyText"/>
        <w:ind w:firstLine="0"/>
        <w:jc w:val="both"/>
      </w:pPr>
    </w:p>
    <w:p w14:paraId="26BE43E6" w14:textId="77777777" w:rsidR="00841A9B" w:rsidRPr="00746819" w:rsidRDefault="00841A9B" w:rsidP="00841A9B">
      <w:pPr>
        <w:pStyle w:val="BodyText"/>
        <w:ind w:firstLine="0"/>
        <w:jc w:val="both"/>
        <w:rPr>
          <w:b/>
        </w:rPr>
      </w:pPr>
      <w:r w:rsidRPr="00746819">
        <w:rPr>
          <w:b/>
        </w:rPr>
        <w:t>Procedures</w:t>
      </w:r>
    </w:p>
    <w:p w14:paraId="5FE16B3C" w14:textId="1077989D" w:rsidR="00841A9B" w:rsidRPr="00627005" w:rsidRDefault="00BD7C6E" w:rsidP="00627005">
      <w:pPr>
        <w:pStyle w:val="BodyText"/>
      </w:pPr>
      <w:r>
        <w:t>A</w:t>
      </w:r>
      <w:r w:rsidR="00841A9B">
        <w:t xml:space="preserve"> ten question electronic survey was sent to all undergraduate students in the college of engineering asking about their instructional experiences.  The survey link was sent out to the undergraduate students by the department chair of each area (e.g. Mechanical, Electrical, Materials, etc.) via listservs.  </w:t>
      </w:r>
      <w:r w:rsidR="00627005">
        <w:t xml:space="preserve">Even </w:t>
      </w:r>
      <w:proofErr w:type="spellStart"/>
      <w:r w:rsidR="00627005">
        <w:t>thought</w:t>
      </w:r>
      <w:proofErr w:type="spellEnd"/>
      <w:r w:rsidR="00627005">
        <w:t xml:space="preserve"> the data collected for this study was primarily quantitative the design and analytical approach was analytic induction, which is normally </w:t>
      </w:r>
      <w:r w:rsidR="00627005">
        <w:lastRenderedPageBreak/>
        <w:t xml:space="preserve">associated with qualitative studies.  The resulting data was analyzed to create frequency tables comparing the distributions of responses for various pairings of the categorical data collected in the survey (experience type vs. course grade, course grade vs. material retention, etc.). </w:t>
      </w:r>
      <w:r w:rsidR="003463B2">
        <w:t xml:space="preserve"> </w:t>
      </w:r>
      <w:r w:rsidR="00DD3CEF">
        <w:t>The analysis</w:t>
      </w:r>
      <w:r w:rsidR="00627005">
        <w:t xml:space="preserve"> was done in an inductive, exploratory fashion in which the findings were generated  in an emergent, rather than </w:t>
      </w:r>
      <w:proofErr w:type="spellStart"/>
      <w:r w:rsidR="00627005">
        <w:t>apriori</w:t>
      </w:r>
      <w:proofErr w:type="spellEnd"/>
      <w:r w:rsidR="00627005">
        <w:t xml:space="preserve"> fashion. Following the guidelines of analytic induction, the findings generated by this method employs select data and instances of phenomena within interpretive commentary. </w:t>
      </w:r>
      <w:r w:rsidR="003463B2">
        <w:t xml:space="preserve"> </w:t>
      </w:r>
      <w:r w:rsidR="00627005">
        <w:t>This approach serves several purposes beyond giving the reader a sense of being present.  First, they serve didactic and rhetorical functions by conveying everyday meanings to the reader to “ground the more abstract concepts of the study” and providing “adequate evidence that the author has made a valid analysis” (Worthen, Sanders, &amp; F</w:t>
      </w:r>
      <w:r w:rsidR="003463B2">
        <w:t>itzpatrick, 1997, p. 149-150).</w:t>
      </w:r>
    </w:p>
    <w:p w14:paraId="65DBC3D2" w14:textId="77777777" w:rsidR="00841A9B" w:rsidRPr="00746819" w:rsidRDefault="00841A9B" w:rsidP="00841A9B">
      <w:pPr>
        <w:pStyle w:val="BodyText"/>
        <w:rPr>
          <w:b/>
          <w:color w:val="FF0000"/>
        </w:rPr>
      </w:pPr>
    </w:p>
    <w:p w14:paraId="3AF44620" w14:textId="77777777" w:rsidR="00841A9B" w:rsidRPr="00746819" w:rsidRDefault="00841A9B" w:rsidP="00901EE3">
      <w:pPr>
        <w:pStyle w:val="Heading1"/>
      </w:pPr>
      <w:r w:rsidRPr="00746819">
        <w:t>FINDINGS</w:t>
      </w:r>
    </w:p>
    <w:p w14:paraId="4833169C" w14:textId="77777777" w:rsidR="00841A9B" w:rsidRDefault="00841A9B" w:rsidP="00901EE3">
      <w:pPr>
        <w:pStyle w:val="Heading2"/>
      </w:pPr>
      <w:r>
        <w:t>Clickers - What went wrong?</w:t>
      </w:r>
    </w:p>
    <w:p w14:paraId="6AF74878" w14:textId="08E561FC" w:rsidR="00841A9B" w:rsidRDefault="00841A9B" w:rsidP="00841A9B">
      <w:pPr>
        <w:pStyle w:val="BodyText"/>
      </w:pPr>
      <w:r>
        <w:t xml:space="preserve">When we compare the distribution across the material retention confidence scale with that of the course grade, we see that the positive and negative course distributions are almost the inverse of each other in terms of distribution, with the bulk of scores occurring at 4 and 2 (See Table </w:t>
      </w:r>
      <w:r w:rsidR="00693EC2">
        <w:t>2</w:t>
      </w:r>
      <w:r>
        <w:t>).</w:t>
      </w:r>
    </w:p>
    <w:p w14:paraId="2BA40FB8" w14:textId="00A5169E" w:rsidR="009A560A" w:rsidRDefault="009A560A">
      <w:pPr>
        <w:spacing w:after="0"/>
        <w:rPr>
          <w:rFonts w:ascii="Times New Roman" w:hAnsi="Times New Roman"/>
          <w:lang w:val="x-none" w:eastAsia="x-none"/>
        </w:rPr>
      </w:pPr>
      <w:r>
        <w:br w:type="page"/>
      </w:r>
    </w:p>
    <w:p w14:paraId="586156A2" w14:textId="77777777" w:rsidR="00841A9B" w:rsidRDefault="00841A9B" w:rsidP="00841A9B">
      <w:pPr>
        <w:pStyle w:val="BodyText"/>
        <w:ind w:firstLine="0"/>
      </w:pPr>
    </w:p>
    <w:p w14:paraId="4FFBBD84" w14:textId="2E69D45A" w:rsidR="00841A9B" w:rsidRDefault="00841A9B" w:rsidP="00841A9B">
      <w:pPr>
        <w:pStyle w:val="TableHeading"/>
      </w:pPr>
      <w:r w:rsidRPr="00AF25D2">
        <w:t xml:space="preserve">Table </w:t>
      </w:r>
      <w:r w:rsidR="00693EC2">
        <w:t>2</w:t>
      </w:r>
    </w:p>
    <w:p w14:paraId="07A24939" w14:textId="77777777" w:rsidR="00841A9B" w:rsidRPr="008D414D" w:rsidRDefault="00841A9B" w:rsidP="00841A9B">
      <w:pPr>
        <w:pStyle w:val="TableHeading"/>
        <w:rPr>
          <w:i/>
        </w:rPr>
      </w:pPr>
      <w:r w:rsidRPr="008D414D">
        <w:rPr>
          <w:i/>
        </w:rPr>
        <w:t>Comparison of Assigned Grade and Self Report Material Mastery/Confidence</w:t>
      </w:r>
    </w:p>
    <w:tbl>
      <w:tblPr>
        <w:tblW w:w="5000" w:type="pct"/>
        <w:jc w:val="center"/>
        <w:tblLook w:val="04A0" w:firstRow="1" w:lastRow="0" w:firstColumn="1" w:lastColumn="0" w:noHBand="0" w:noVBand="1"/>
      </w:tblPr>
      <w:tblGrid>
        <w:gridCol w:w="3097"/>
        <w:gridCol w:w="1650"/>
        <w:gridCol w:w="2267"/>
        <w:gridCol w:w="2346"/>
      </w:tblGrid>
      <w:tr w:rsidR="00841A9B" w:rsidRPr="00BB2E58" w14:paraId="0E1EC9E8" w14:textId="77777777">
        <w:trPr>
          <w:trHeight w:val="375"/>
          <w:jc w:val="center"/>
        </w:trPr>
        <w:tc>
          <w:tcPr>
            <w:tcW w:w="1654" w:type="pct"/>
            <w:tcBorders>
              <w:top w:val="single" w:sz="4" w:space="0" w:color="auto"/>
              <w:bottom w:val="single" w:sz="4" w:space="0" w:color="auto"/>
            </w:tcBorders>
            <w:shd w:val="clear" w:color="auto" w:fill="auto"/>
            <w:noWrap/>
            <w:vAlign w:val="bottom"/>
          </w:tcPr>
          <w:p w14:paraId="77DFC221" w14:textId="77777777" w:rsidR="00841A9B" w:rsidRPr="009C6CD3" w:rsidRDefault="00841A9B" w:rsidP="00841A9B">
            <w:pPr>
              <w:spacing w:after="0"/>
              <w:rPr>
                <w:rFonts w:ascii="Times New Roman" w:eastAsia="Times New Roman" w:hAnsi="Times New Roman"/>
                <w:b/>
                <w:color w:val="000000"/>
              </w:rPr>
            </w:pPr>
          </w:p>
        </w:tc>
        <w:tc>
          <w:tcPr>
            <w:tcW w:w="881" w:type="pct"/>
            <w:tcBorders>
              <w:top w:val="single" w:sz="4" w:space="0" w:color="auto"/>
              <w:bottom w:val="single" w:sz="4" w:space="0" w:color="auto"/>
            </w:tcBorders>
            <w:shd w:val="clear" w:color="auto" w:fill="auto"/>
            <w:noWrap/>
            <w:vAlign w:val="center"/>
          </w:tcPr>
          <w:p w14:paraId="5E27758E"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Level</w:t>
            </w:r>
          </w:p>
        </w:tc>
        <w:tc>
          <w:tcPr>
            <w:tcW w:w="1211" w:type="pct"/>
            <w:tcBorders>
              <w:top w:val="single" w:sz="4" w:space="0" w:color="auto"/>
              <w:bottom w:val="single" w:sz="4" w:space="0" w:color="auto"/>
            </w:tcBorders>
            <w:shd w:val="clear" w:color="auto" w:fill="auto"/>
            <w:vAlign w:val="center"/>
          </w:tcPr>
          <w:p w14:paraId="2AD5B54F"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 xml:space="preserve"># </w:t>
            </w:r>
            <w:proofErr w:type="gramStart"/>
            <w:r w:rsidRPr="009C6CD3">
              <w:rPr>
                <w:rFonts w:ascii="Times New Roman" w:eastAsia="Times New Roman" w:hAnsi="Times New Roman"/>
                <w:color w:val="000000"/>
                <w:szCs w:val="18"/>
              </w:rPr>
              <w:t>positive</w:t>
            </w:r>
            <w:proofErr w:type="gramEnd"/>
            <w:r w:rsidRPr="009C6CD3">
              <w:rPr>
                <w:rFonts w:ascii="Times New Roman" w:eastAsia="Times New Roman" w:hAnsi="Times New Roman"/>
                <w:color w:val="000000"/>
                <w:szCs w:val="18"/>
              </w:rPr>
              <w:t xml:space="preserve"> responses</w:t>
            </w:r>
          </w:p>
        </w:tc>
        <w:tc>
          <w:tcPr>
            <w:tcW w:w="1253" w:type="pct"/>
            <w:tcBorders>
              <w:top w:val="single" w:sz="4" w:space="0" w:color="auto"/>
              <w:bottom w:val="single" w:sz="4" w:space="0" w:color="auto"/>
            </w:tcBorders>
            <w:shd w:val="clear" w:color="auto" w:fill="auto"/>
            <w:vAlign w:val="center"/>
          </w:tcPr>
          <w:p w14:paraId="639960AD"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 xml:space="preserve"># </w:t>
            </w:r>
            <w:proofErr w:type="gramStart"/>
            <w:r w:rsidRPr="009C6CD3">
              <w:rPr>
                <w:rFonts w:ascii="Times New Roman" w:eastAsia="Times New Roman" w:hAnsi="Times New Roman"/>
                <w:color w:val="000000"/>
                <w:szCs w:val="18"/>
              </w:rPr>
              <w:t>negative</w:t>
            </w:r>
            <w:proofErr w:type="gramEnd"/>
            <w:r w:rsidRPr="009C6CD3">
              <w:rPr>
                <w:rFonts w:ascii="Times New Roman" w:eastAsia="Times New Roman" w:hAnsi="Times New Roman"/>
                <w:color w:val="000000"/>
                <w:szCs w:val="18"/>
              </w:rPr>
              <w:t xml:space="preserve"> responses</w:t>
            </w:r>
          </w:p>
        </w:tc>
      </w:tr>
      <w:tr w:rsidR="00841A9B" w:rsidRPr="00BB2E58" w14:paraId="59845BF8" w14:textId="77777777">
        <w:trPr>
          <w:trHeight w:val="184"/>
          <w:jc w:val="center"/>
        </w:trPr>
        <w:tc>
          <w:tcPr>
            <w:tcW w:w="1654" w:type="pct"/>
            <w:vMerge w:val="restart"/>
            <w:tcBorders>
              <w:top w:val="single" w:sz="4" w:space="0" w:color="auto"/>
            </w:tcBorders>
            <w:shd w:val="clear" w:color="auto" w:fill="auto"/>
            <w:noWrap/>
            <w:vAlign w:val="center"/>
          </w:tcPr>
          <w:p w14:paraId="4E3482D3"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Grade</w:t>
            </w:r>
          </w:p>
        </w:tc>
        <w:tc>
          <w:tcPr>
            <w:tcW w:w="881" w:type="pct"/>
            <w:tcBorders>
              <w:top w:val="single" w:sz="4" w:space="0" w:color="auto"/>
            </w:tcBorders>
            <w:shd w:val="clear" w:color="000000" w:fill="FFFFFF"/>
            <w:noWrap/>
            <w:vAlign w:val="bottom"/>
          </w:tcPr>
          <w:p w14:paraId="4F8BC5AC"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A</w:t>
            </w:r>
          </w:p>
        </w:tc>
        <w:tc>
          <w:tcPr>
            <w:tcW w:w="1211" w:type="pct"/>
            <w:tcBorders>
              <w:top w:val="single" w:sz="4" w:space="0" w:color="auto"/>
            </w:tcBorders>
            <w:shd w:val="clear" w:color="000000" w:fill="FFFFFF"/>
            <w:noWrap/>
            <w:vAlign w:val="bottom"/>
          </w:tcPr>
          <w:p w14:paraId="402B3C57"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227</w:t>
            </w:r>
          </w:p>
        </w:tc>
        <w:tc>
          <w:tcPr>
            <w:tcW w:w="1253" w:type="pct"/>
            <w:tcBorders>
              <w:top w:val="single" w:sz="4" w:space="0" w:color="auto"/>
            </w:tcBorders>
            <w:shd w:val="clear" w:color="000000" w:fill="FFFFFF"/>
            <w:noWrap/>
            <w:vAlign w:val="bottom"/>
          </w:tcPr>
          <w:p w14:paraId="55B69BD0"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42</w:t>
            </w:r>
          </w:p>
        </w:tc>
      </w:tr>
      <w:tr w:rsidR="00841A9B" w:rsidRPr="00BB2E58" w14:paraId="003421EA" w14:textId="77777777">
        <w:trPr>
          <w:trHeight w:val="184"/>
          <w:jc w:val="center"/>
        </w:trPr>
        <w:tc>
          <w:tcPr>
            <w:tcW w:w="1654" w:type="pct"/>
            <w:vMerge/>
            <w:vAlign w:val="center"/>
          </w:tcPr>
          <w:p w14:paraId="45C91807"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4EABA3B4"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B</w:t>
            </w:r>
          </w:p>
        </w:tc>
        <w:tc>
          <w:tcPr>
            <w:tcW w:w="1211" w:type="pct"/>
            <w:shd w:val="clear" w:color="000000" w:fill="FFFFFF"/>
            <w:noWrap/>
            <w:vAlign w:val="bottom"/>
          </w:tcPr>
          <w:p w14:paraId="29B3FE18"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41</w:t>
            </w:r>
          </w:p>
        </w:tc>
        <w:tc>
          <w:tcPr>
            <w:tcW w:w="1253" w:type="pct"/>
            <w:shd w:val="clear" w:color="000000" w:fill="FFFFFF"/>
            <w:noWrap/>
            <w:vAlign w:val="bottom"/>
          </w:tcPr>
          <w:p w14:paraId="7927A00E"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85</w:t>
            </w:r>
          </w:p>
        </w:tc>
      </w:tr>
      <w:tr w:rsidR="00841A9B" w:rsidRPr="00BB2E58" w14:paraId="20E20E15" w14:textId="77777777">
        <w:trPr>
          <w:trHeight w:val="184"/>
          <w:jc w:val="center"/>
        </w:trPr>
        <w:tc>
          <w:tcPr>
            <w:tcW w:w="1654" w:type="pct"/>
            <w:vMerge/>
            <w:vAlign w:val="center"/>
          </w:tcPr>
          <w:p w14:paraId="6B05C5FA"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5788FBF6"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C</w:t>
            </w:r>
          </w:p>
        </w:tc>
        <w:tc>
          <w:tcPr>
            <w:tcW w:w="1211" w:type="pct"/>
            <w:shd w:val="clear" w:color="000000" w:fill="FFFFFF"/>
            <w:noWrap/>
            <w:vAlign w:val="bottom"/>
          </w:tcPr>
          <w:p w14:paraId="3D36E30F"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3</w:t>
            </w:r>
          </w:p>
        </w:tc>
        <w:tc>
          <w:tcPr>
            <w:tcW w:w="1253" w:type="pct"/>
            <w:shd w:val="clear" w:color="000000" w:fill="FFFFFF"/>
            <w:noWrap/>
            <w:vAlign w:val="bottom"/>
          </w:tcPr>
          <w:p w14:paraId="7DB1965B"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85</w:t>
            </w:r>
          </w:p>
        </w:tc>
      </w:tr>
      <w:tr w:rsidR="00841A9B" w:rsidRPr="00BB2E58" w14:paraId="1E0CC33A" w14:textId="77777777">
        <w:trPr>
          <w:trHeight w:val="184"/>
          <w:jc w:val="center"/>
        </w:trPr>
        <w:tc>
          <w:tcPr>
            <w:tcW w:w="1654" w:type="pct"/>
            <w:vMerge/>
            <w:vAlign w:val="center"/>
          </w:tcPr>
          <w:p w14:paraId="1B42FA32"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73851D56"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D</w:t>
            </w:r>
          </w:p>
        </w:tc>
        <w:tc>
          <w:tcPr>
            <w:tcW w:w="1211" w:type="pct"/>
            <w:shd w:val="clear" w:color="000000" w:fill="FFFFFF"/>
            <w:noWrap/>
            <w:vAlign w:val="bottom"/>
          </w:tcPr>
          <w:p w14:paraId="54C36FE4"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2</w:t>
            </w:r>
          </w:p>
        </w:tc>
        <w:tc>
          <w:tcPr>
            <w:tcW w:w="1253" w:type="pct"/>
            <w:shd w:val="clear" w:color="000000" w:fill="FFFFFF"/>
            <w:noWrap/>
            <w:vAlign w:val="bottom"/>
          </w:tcPr>
          <w:p w14:paraId="68A85D36"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44</w:t>
            </w:r>
          </w:p>
        </w:tc>
      </w:tr>
      <w:tr w:rsidR="00841A9B" w:rsidRPr="00BB2E58" w14:paraId="0F551361" w14:textId="77777777">
        <w:trPr>
          <w:trHeight w:val="67"/>
          <w:jc w:val="center"/>
        </w:trPr>
        <w:tc>
          <w:tcPr>
            <w:tcW w:w="1654" w:type="pct"/>
            <w:vMerge/>
            <w:tcBorders>
              <w:bottom w:val="single" w:sz="4" w:space="0" w:color="auto"/>
            </w:tcBorders>
            <w:vAlign w:val="center"/>
          </w:tcPr>
          <w:p w14:paraId="6AAA3D0B" w14:textId="77777777" w:rsidR="00841A9B" w:rsidRPr="009C6CD3" w:rsidRDefault="00841A9B" w:rsidP="00841A9B">
            <w:pPr>
              <w:spacing w:after="0"/>
              <w:rPr>
                <w:rFonts w:ascii="Times New Roman" w:eastAsia="Times New Roman" w:hAnsi="Times New Roman"/>
                <w:color w:val="000000"/>
                <w:szCs w:val="18"/>
              </w:rPr>
            </w:pPr>
          </w:p>
        </w:tc>
        <w:tc>
          <w:tcPr>
            <w:tcW w:w="881" w:type="pct"/>
            <w:tcBorders>
              <w:bottom w:val="single" w:sz="4" w:space="0" w:color="auto"/>
            </w:tcBorders>
            <w:shd w:val="clear" w:color="000000" w:fill="FFFFFF"/>
            <w:noWrap/>
            <w:vAlign w:val="bottom"/>
          </w:tcPr>
          <w:p w14:paraId="1FF4B8F2"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E</w:t>
            </w:r>
          </w:p>
        </w:tc>
        <w:tc>
          <w:tcPr>
            <w:tcW w:w="1211" w:type="pct"/>
            <w:tcBorders>
              <w:bottom w:val="single" w:sz="4" w:space="0" w:color="auto"/>
            </w:tcBorders>
            <w:shd w:val="clear" w:color="000000" w:fill="FFFFFF"/>
            <w:noWrap/>
            <w:vAlign w:val="bottom"/>
          </w:tcPr>
          <w:p w14:paraId="0A67EF9D"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0</w:t>
            </w:r>
          </w:p>
        </w:tc>
        <w:tc>
          <w:tcPr>
            <w:tcW w:w="1253" w:type="pct"/>
            <w:tcBorders>
              <w:bottom w:val="single" w:sz="4" w:space="0" w:color="auto"/>
            </w:tcBorders>
            <w:shd w:val="clear" w:color="000000" w:fill="FFFFFF"/>
            <w:noWrap/>
            <w:vAlign w:val="bottom"/>
          </w:tcPr>
          <w:p w14:paraId="50600964"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15</w:t>
            </w:r>
          </w:p>
        </w:tc>
      </w:tr>
      <w:tr w:rsidR="00841A9B" w:rsidRPr="00BB2E58" w14:paraId="07C8818C" w14:textId="77777777">
        <w:trPr>
          <w:trHeight w:val="184"/>
          <w:jc w:val="center"/>
        </w:trPr>
        <w:tc>
          <w:tcPr>
            <w:tcW w:w="1654" w:type="pct"/>
            <w:vMerge w:val="restart"/>
            <w:tcBorders>
              <w:top w:val="single" w:sz="4" w:space="0" w:color="auto"/>
            </w:tcBorders>
            <w:shd w:val="clear" w:color="auto" w:fill="auto"/>
            <w:vAlign w:val="center"/>
          </w:tcPr>
          <w:p w14:paraId="4DD51FBE"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Material Retention</w:t>
            </w:r>
          </w:p>
        </w:tc>
        <w:tc>
          <w:tcPr>
            <w:tcW w:w="881" w:type="pct"/>
            <w:tcBorders>
              <w:top w:val="single" w:sz="4" w:space="0" w:color="auto"/>
            </w:tcBorders>
            <w:shd w:val="clear" w:color="000000" w:fill="FFFFFF"/>
            <w:noWrap/>
            <w:vAlign w:val="bottom"/>
          </w:tcPr>
          <w:p w14:paraId="042F9C03"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5</w:t>
            </w:r>
          </w:p>
        </w:tc>
        <w:tc>
          <w:tcPr>
            <w:tcW w:w="1211" w:type="pct"/>
            <w:tcBorders>
              <w:top w:val="single" w:sz="4" w:space="0" w:color="auto"/>
            </w:tcBorders>
            <w:shd w:val="clear" w:color="000000" w:fill="FFFFFF"/>
            <w:noWrap/>
            <w:vAlign w:val="bottom"/>
          </w:tcPr>
          <w:p w14:paraId="3180C65A"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54</w:t>
            </w:r>
          </w:p>
        </w:tc>
        <w:tc>
          <w:tcPr>
            <w:tcW w:w="1253" w:type="pct"/>
            <w:tcBorders>
              <w:top w:val="single" w:sz="4" w:space="0" w:color="auto"/>
            </w:tcBorders>
            <w:shd w:val="clear" w:color="000000" w:fill="FFFFFF"/>
            <w:noWrap/>
            <w:vAlign w:val="bottom"/>
          </w:tcPr>
          <w:p w14:paraId="34464B6E"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w:t>
            </w:r>
          </w:p>
        </w:tc>
      </w:tr>
      <w:tr w:rsidR="00841A9B" w:rsidRPr="00BB2E58" w14:paraId="610117D5" w14:textId="77777777">
        <w:trPr>
          <w:trHeight w:val="184"/>
          <w:jc w:val="center"/>
        </w:trPr>
        <w:tc>
          <w:tcPr>
            <w:tcW w:w="1654" w:type="pct"/>
            <w:vMerge/>
            <w:vAlign w:val="center"/>
          </w:tcPr>
          <w:p w14:paraId="321E8F62"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596F6CEE"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w:t>
            </w:r>
          </w:p>
        </w:tc>
        <w:tc>
          <w:tcPr>
            <w:tcW w:w="1211" w:type="pct"/>
            <w:shd w:val="clear" w:color="000000" w:fill="FFFFFF"/>
            <w:noWrap/>
            <w:vAlign w:val="bottom"/>
          </w:tcPr>
          <w:p w14:paraId="22B2C77F"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130</w:t>
            </w:r>
          </w:p>
        </w:tc>
        <w:tc>
          <w:tcPr>
            <w:tcW w:w="1253" w:type="pct"/>
            <w:shd w:val="clear" w:color="000000" w:fill="FFFFFF"/>
            <w:noWrap/>
            <w:vAlign w:val="bottom"/>
          </w:tcPr>
          <w:p w14:paraId="3F9C0F3B"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25</w:t>
            </w:r>
          </w:p>
        </w:tc>
      </w:tr>
      <w:tr w:rsidR="00841A9B" w:rsidRPr="00BB2E58" w14:paraId="00C507A4" w14:textId="77777777">
        <w:trPr>
          <w:trHeight w:val="184"/>
          <w:jc w:val="center"/>
        </w:trPr>
        <w:tc>
          <w:tcPr>
            <w:tcW w:w="1654" w:type="pct"/>
            <w:vMerge/>
            <w:vAlign w:val="center"/>
          </w:tcPr>
          <w:p w14:paraId="01FC3893"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44130BFC"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3</w:t>
            </w:r>
          </w:p>
        </w:tc>
        <w:tc>
          <w:tcPr>
            <w:tcW w:w="1211" w:type="pct"/>
            <w:shd w:val="clear" w:color="000000" w:fill="FFFFFF"/>
            <w:noWrap/>
            <w:vAlign w:val="bottom"/>
          </w:tcPr>
          <w:p w14:paraId="29BF9F50"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73</w:t>
            </w:r>
          </w:p>
        </w:tc>
        <w:tc>
          <w:tcPr>
            <w:tcW w:w="1253" w:type="pct"/>
            <w:shd w:val="clear" w:color="000000" w:fill="FFFFFF"/>
            <w:noWrap/>
            <w:vAlign w:val="bottom"/>
          </w:tcPr>
          <w:p w14:paraId="374F8599"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43</w:t>
            </w:r>
          </w:p>
        </w:tc>
      </w:tr>
      <w:tr w:rsidR="00841A9B" w:rsidRPr="00BB2E58" w14:paraId="1CE7643B" w14:textId="77777777">
        <w:trPr>
          <w:trHeight w:val="184"/>
          <w:jc w:val="center"/>
        </w:trPr>
        <w:tc>
          <w:tcPr>
            <w:tcW w:w="1654" w:type="pct"/>
            <w:vMerge/>
            <w:vAlign w:val="center"/>
          </w:tcPr>
          <w:p w14:paraId="21C2D5E1" w14:textId="77777777" w:rsidR="00841A9B" w:rsidRPr="009C6CD3" w:rsidRDefault="00841A9B" w:rsidP="00841A9B">
            <w:pPr>
              <w:spacing w:after="0"/>
              <w:rPr>
                <w:rFonts w:ascii="Times New Roman" w:eastAsia="Times New Roman" w:hAnsi="Times New Roman"/>
                <w:color w:val="000000"/>
                <w:szCs w:val="18"/>
              </w:rPr>
            </w:pPr>
          </w:p>
        </w:tc>
        <w:tc>
          <w:tcPr>
            <w:tcW w:w="881" w:type="pct"/>
            <w:shd w:val="clear" w:color="000000" w:fill="FFFFFF"/>
            <w:noWrap/>
            <w:vAlign w:val="bottom"/>
          </w:tcPr>
          <w:p w14:paraId="4A93CE2A"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2</w:t>
            </w:r>
          </w:p>
        </w:tc>
        <w:tc>
          <w:tcPr>
            <w:tcW w:w="1211" w:type="pct"/>
            <w:shd w:val="clear" w:color="000000" w:fill="FFFFFF"/>
            <w:noWrap/>
            <w:vAlign w:val="bottom"/>
          </w:tcPr>
          <w:p w14:paraId="2358F3CB"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14</w:t>
            </w:r>
          </w:p>
        </w:tc>
        <w:tc>
          <w:tcPr>
            <w:tcW w:w="1253" w:type="pct"/>
            <w:shd w:val="clear" w:color="000000" w:fill="FFFFFF"/>
            <w:noWrap/>
            <w:vAlign w:val="bottom"/>
          </w:tcPr>
          <w:p w14:paraId="268D7C54"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133</w:t>
            </w:r>
          </w:p>
        </w:tc>
      </w:tr>
      <w:tr w:rsidR="00841A9B" w:rsidRPr="00BB2E58" w14:paraId="1D7D2B45" w14:textId="77777777">
        <w:trPr>
          <w:trHeight w:val="192"/>
          <w:jc w:val="center"/>
        </w:trPr>
        <w:tc>
          <w:tcPr>
            <w:tcW w:w="1654" w:type="pct"/>
            <w:vMerge/>
            <w:tcBorders>
              <w:bottom w:val="single" w:sz="4" w:space="0" w:color="auto"/>
            </w:tcBorders>
            <w:vAlign w:val="center"/>
          </w:tcPr>
          <w:p w14:paraId="73FCEA5F" w14:textId="77777777" w:rsidR="00841A9B" w:rsidRPr="009C6CD3" w:rsidRDefault="00841A9B" w:rsidP="00841A9B">
            <w:pPr>
              <w:spacing w:after="0"/>
              <w:rPr>
                <w:rFonts w:ascii="Times New Roman" w:eastAsia="Times New Roman" w:hAnsi="Times New Roman"/>
                <w:color w:val="000000"/>
                <w:szCs w:val="18"/>
              </w:rPr>
            </w:pPr>
          </w:p>
        </w:tc>
        <w:tc>
          <w:tcPr>
            <w:tcW w:w="881" w:type="pct"/>
            <w:tcBorders>
              <w:bottom w:val="single" w:sz="4" w:space="0" w:color="auto"/>
            </w:tcBorders>
            <w:shd w:val="clear" w:color="000000" w:fill="FFFFFF"/>
            <w:noWrap/>
            <w:vAlign w:val="bottom"/>
          </w:tcPr>
          <w:p w14:paraId="48B82E88"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1</w:t>
            </w:r>
          </w:p>
        </w:tc>
        <w:tc>
          <w:tcPr>
            <w:tcW w:w="1211" w:type="pct"/>
            <w:tcBorders>
              <w:bottom w:val="single" w:sz="4" w:space="0" w:color="auto"/>
            </w:tcBorders>
            <w:shd w:val="clear" w:color="000000" w:fill="FFFFFF"/>
            <w:noWrap/>
            <w:vAlign w:val="bottom"/>
          </w:tcPr>
          <w:p w14:paraId="5CDDE029"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2</w:t>
            </w:r>
          </w:p>
        </w:tc>
        <w:tc>
          <w:tcPr>
            <w:tcW w:w="1253" w:type="pct"/>
            <w:tcBorders>
              <w:bottom w:val="single" w:sz="4" w:space="0" w:color="auto"/>
            </w:tcBorders>
            <w:shd w:val="clear" w:color="000000" w:fill="FFFFFF"/>
            <w:noWrap/>
            <w:vAlign w:val="bottom"/>
          </w:tcPr>
          <w:p w14:paraId="46ED6D0B" w14:textId="77777777" w:rsidR="00841A9B" w:rsidRPr="009C6CD3" w:rsidRDefault="00841A9B" w:rsidP="00841A9B">
            <w:pPr>
              <w:spacing w:after="0"/>
              <w:jc w:val="center"/>
              <w:rPr>
                <w:rFonts w:ascii="Times New Roman" w:eastAsia="Times New Roman" w:hAnsi="Times New Roman"/>
                <w:color w:val="000000"/>
                <w:szCs w:val="18"/>
              </w:rPr>
            </w:pPr>
            <w:r w:rsidRPr="009C6CD3">
              <w:rPr>
                <w:rFonts w:ascii="Times New Roman" w:eastAsia="Times New Roman" w:hAnsi="Times New Roman"/>
                <w:color w:val="000000"/>
                <w:szCs w:val="18"/>
              </w:rPr>
              <w:t>67</w:t>
            </w:r>
          </w:p>
        </w:tc>
      </w:tr>
    </w:tbl>
    <w:p w14:paraId="65F1BB99" w14:textId="77777777" w:rsidR="00841A9B" w:rsidRDefault="00841A9B" w:rsidP="00841A9B">
      <w:pPr>
        <w:pStyle w:val="BodyText"/>
      </w:pPr>
    </w:p>
    <w:p w14:paraId="05B6CC01" w14:textId="21B88DAC" w:rsidR="00841A9B" w:rsidRDefault="00841A9B" w:rsidP="00841A9B">
      <w:pPr>
        <w:pStyle w:val="BodyText"/>
      </w:pPr>
      <w:r>
        <w:t xml:space="preserve">Next, we examined the various techniques used and their most effective to least effective ratios.  Not surprisingly lecture and note-taking occurred most frequently, </w:t>
      </w:r>
      <w:r w:rsidR="00E24E3C">
        <w:t>with</w:t>
      </w:r>
      <w:r>
        <w:t xml:space="preserve"> the ratio of negative to positive experiences was almost 1:1 in both cases (See Table </w:t>
      </w:r>
      <w:r w:rsidR="00693EC2">
        <w:t>3</w:t>
      </w:r>
      <w:r>
        <w:t xml:space="preserve">).  </w:t>
      </w:r>
      <w:r w:rsidR="00E24E3C">
        <w:t xml:space="preserve">Given that every class involves some transmission of information, these results were not unexpected. </w:t>
      </w:r>
      <w:r>
        <w:t>In-class questions, problem solving, peer discussion, demonstrations and group work were all associated with positive instructional experiences.  Of all the instructional techniques listed, only the use of clickers were significantly weighted in the negatively perceived courses.</w:t>
      </w:r>
      <w:r w:rsidR="00E24E3C">
        <w:t xml:space="preserve"> The distribution of positive and negative course experiences was compared to a 1:1 baseline using a chi squared test to determine statistical </w:t>
      </w:r>
      <w:proofErr w:type="spellStart"/>
      <w:r w:rsidR="00E24E3C">
        <w:t>significane</w:t>
      </w:r>
      <w:proofErr w:type="spellEnd"/>
      <w:r w:rsidR="00E24E3C">
        <w:t>. Except for lecture and note taking, all the other distributions differences were  statistically significant at the 0.05 level.</w:t>
      </w:r>
    </w:p>
    <w:p w14:paraId="50BCF9A9" w14:textId="0D326943" w:rsidR="00DF03E1" w:rsidRDefault="00DF03E1">
      <w:pPr>
        <w:spacing w:after="0"/>
        <w:rPr>
          <w:rFonts w:ascii="Times New Roman" w:hAnsi="Times New Roman"/>
          <w:lang w:val="x-none" w:eastAsia="x-none"/>
        </w:rPr>
      </w:pPr>
      <w:r>
        <w:br w:type="page"/>
      </w:r>
    </w:p>
    <w:p w14:paraId="61FCE0A4" w14:textId="77777777" w:rsidR="00841A9B" w:rsidRDefault="00841A9B" w:rsidP="00841A9B">
      <w:pPr>
        <w:pStyle w:val="BodyText"/>
        <w:ind w:firstLine="0"/>
      </w:pPr>
    </w:p>
    <w:p w14:paraId="7CC2A42E" w14:textId="13FC5124" w:rsidR="00841A9B" w:rsidRDefault="00841A9B" w:rsidP="00841A9B">
      <w:pPr>
        <w:pStyle w:val="TableHeading"/>
      </w:pPr>
      <w:r w:rsidRPr="00AF25D2">
        <w:t xml:space="preserve">Table </w:t>
      </w:r>
      <w:r w:rsidR="00693EC2">
        <w:t>3</w:t>
      </w:r>
    </w:p>
    <w:p w14:paraId="5221661B" w14:textId="77777777" w:rsidR="00841A9B" w:rsidRPr="00BE5FBE" w:rsidRDefault="00841A9B" w:rsidP="00841A9B">
      <w:pPr>
        <w:pStyle w:val="TableHeading"/>
        <w:rPr>
          <w:i/>
        </w:rPr>
      </w:pPr>
      <w:r w:rsidRPr="00BE5FBE">
        <w:rPr>
          <w:i/>
        </w:rPr>
        <w:t>Occurrence of Instructional Technique in Most and Least Effective Courses</w:t>
      </w:r>
    </w:p>
    <w:tbl>
      <w:tblPr>
        <w:tblW w:w="5000" w:type="pct"/>
        <w:tblLook w:val="0000" w:firstRow="0" w:lastRow="0" w:firstColumn="0" w:lastColumn="0" w:noHBand="0" w:noVBand="0"/>
      </w:tblPr>
      <w:tblGrid>
        <w:gridCol w:w="2483"/>
        <w:gridCol w:w="2020"/>
        <w:gridCol w:w="1848"/>
        <w:gridCol w:w="1584"/>
        <w:gridCol w:w="1425"/>
      </w:tblGrid>
      <w:tr w:rsidR="00A749A0" w:rsidRPr="009C6CD3" w14:paraId="7F8F9053" w14:textId="77777777" w:rsidTr="00A749A0">
        <w:trPr>
          <w:trHeight w:val="260"/>
        </w:trPr>
        <w:tc>
          <w:tcPr>
            <w:tcW w:w="1327" w:type="pct"/>
            <w:tcBorders>
              <w:top w:val="single" w:sz="6" w:space="0" w:color="auto"/>
              <w:bottom w:val="single" w:sz="6" w:space="0" w:color="auto"/>
            </w:tcBorders>
          </w:tcPr>
          <w:p w14:paraId="6656FB23"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Instructional Technique</w:t>
            </w:r>
          </w:p>
        </w:tc>
        <w:tc>
          <w:tcPr>
            <w:tcW w:w="1079" w:type="pct"/>
            <w:tcBorders>
              <w:top w:val="single" w:sz="6" w:space="0" w:color="auto"/>
              <w:bottom w:val="single" w:sz="6" w:space="0" w:color="auto"/>
            </w:tcBorders>
          </w:tcPr>
          <w:p w14:paraId="31ED6C0C"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No.  of times indicated for the Most Effective Course</w:t>
            </w:r>
          </w:p>
        </w:tc>
        <w:tc>
          <w:tcPr>
            <w:tcW w:w="987" w:type="pct"/>
            <w:tcBorders>
              <w:top w:val="single" w:sz="6" w:space="0" w:color="auto"/>
              <w:bottom w:val="single" w:sz="6" w:space="0" w:color="auto"/>
            </w:tcBorders>
          </w:tcPr>
          <w:p w14:paraId="7C56C546"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No.  of times indicated for the Least Effective Course</w:t>
            </w:r>
          </w:p>
        </w:tc>
        <w:tc>
          <w:tcPr>
            <w:tcW w:w="846" w:type="pct"/>
            <w:tcBorders>
              <w:top w:val="single" w:sz="6" w:space="0" w:color="auto"/>
              <w:bottom w:val="single" w:sz="6" w:space="0" w:color="auto"/>
            </w:tcBorders>
          </w:tcPr>
          <w:p w14:paraId="27DB021F"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Ratio of Most to Least Occurrences</w:t>
            </w:r>
          </w:p>
        </w:tc>
        <w:tc>
          <w:tcPr>
            <w:tcW w:w="761" w:type="pct"/>
            <w:tcBorders>
              <w:top w:val="single" w:sz="6" w:space="0" w:color="auto"/>
              <w:bottom w:val="single" w:sz="6" w:space="0" w:color="auto"/>
            </w:tcBorders>
          </w:tcPr>
          <w:p w14:paraId="17ED2420" w14:textId="77777777" w:rsidR="00A749A0" w:rsidRDefault="00A749A0" w:rsidP="00A749A0">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 xml:space="preserve">Chi-Squared Value </w:t>
            </w:r>
          </w:p>
        </w:tc>
      </w:tr>
      <w:tr w:rsidR="00A749A0" w:rsidRPr="009C6CD3" w14:paraId="29837750" w14:textId="77777777" w:rsidTr="004E26EB">
        <w:trPr>
          <w:trHeight w:val="309"/>
        </w:trPr>
        <w:tc>
          <w:tcPr>
            <w:tcW w:w="1327" w:type="pct"/>
            <w:tcBorders>
              <w:top w:val="single" w:sz="6" w:space="0" w:color="auto"/>
            </w:tcBorders>
          </w:tcPr>
          <w:p w14:paraId="41A0C2E7"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Lecture</w:t>
            </w:r>
          </w:p>
        </w:tc>
        <w:tc>
          <w:tcPr>
            <w:tcW w:w="1079" w:type="pct"/>
            <w:tcBorders>
              <w:top w:val="single" w:sz="6" w:space="0" w:color="auto"/>
            </w:tcBorders>
          </w:tcPr>
          <w:p w14:paraId="4F61F068"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211</w:t>
            </w:r>
          </w:p>
        </w:tc>
        <w:tc>
          <w:tcPr>
            <w:tcW w:w="987" w:type="pct"/>
            <w:tcBorders>
              <w:top w:val="single" w:sz="6" w:space="0" w:color="auto"/>
            </w:tcBorders>
          </w:tcPr>
          <w:p w14:paraId="7B50B379"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218</w:t>
            </w:r>
          </w:p>
        </w:tc>
        <w:tc>
          <w:tcPr>
            <w:tcW w:w="846" w:type="pct"/>
            <w:tcBorders>
              <w:top w:val="single" w:sz="6" w:space="0" w:color="auto"/>
            </w:tcBorders>
          </w:tcPr>
          <w:p w14:paraId="62022629"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0.97</w:t>
            </w:r>
          </w:p>
        </w:tc>
        <w:tc>
          <w:tcPr>
            <w:tcW w:w="761" w:type="pct"/>
            <w:tcBorders>
              <w:top w:val="single" w:sz="6" w:space="0" w:color="auto"/>
            </w:tcBorders>
          </w:tcPr>
          <w:p w14:paraId="077EE0D1"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0.114</w:t>
            </w:r>
          </w:p>
        </w:tc>
      </w:tr>
      <w:tr w:rsidR="00A749A0" w:rsidRPr="009C6CD3" w14:paraId="26EE0439" w14:textId="77777777" w:rsidTr="004E26EB">
        <w:trPr>
          <w:trHeight w:val="309"/>
        </w:trPr>
        <w:tc>
          <w:tcPr>
            <w:tcW w:w="1327" w:type="pct"/>
          </w:tcPr>
          <w:p w14:paraId="3384F32F"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Pr>
                <w:rFonts w:ascii="Times New Roman" w:hAnsi="Times New Roman" w:cs="Verdana"/>
                <w:color w:val="000000"/>
                <w:szCs w:val="20"/>
              </w:rPr>
              <w:t>Note taking</w:t>
            </w:r>
          </w:p>
        </w:tc>
        <w:tc>
          <w:tcPr>
            <w:tcW w:w="1079" w:type="pct"/>
          </w:tcPr>
          <w:p w14:paraId="0E72119E"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195</w:t>
            </w:r>
          </w:p>
        </w:tc>
        <w:tc>
          <w:tcPr>
            <w:tcW w:w="987" w:type="pct"/>
          </w:tcPr>
          <w:p w14:paraId="491A8F13"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183</w:t>
            </w:r>
          </w:p>
        </w:tc>
        <w:tc>
          <w:tcPr>
            <w:tcW w:w="846" w:type="pct"/>
          </w:tcPr>
          <w:p w14:paraId="1AEF99FB"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1.07</w:t>
            </w:r>
          </w:p>
        </w:tc>
        <w:tc>
          <w:tcPr>
            <w:tcW w:w="761" w:type="pct"/>
          </w:tcPr>
          <w:p w14:paraId="74F2EFFF"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0.381</w:t>
            </w:r>
          </w:p>
        </w:tc>
      </w:tr>
      <w:tr w:rsidR="00A749A0" w:rsidRPr="009C6CD3" w14:paraId="42AF62A8" w14:textId="77777777" w:rsidTr="004E26EB">
        <w:trPr>
          <w:trHeight w:val="309"/>
        </w:trPr>
        <w:tc>
          <w:tcPr>
            <w:tcW w:w="1327" w:type="pct"/>
          </w:tcPr>
          <w:p w14:paraId="1424B87B"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Questions</w:t>
            </w:r>
          </w:p>
        </w:tc>
        <w:tc>
          <w:tcPr>
            <w:tcW w:w="1079" w:type="pct"/>
          </w:tcPr>
          <w:p w14:paraId="5FC5FBE2"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133</w:t>
            </w:r>
          </w:p>
        </w:tc>
        <w:tc>
          <w:tcPr>
            <w:tcW w:w="987" w:type="pct"/>
          </w:tcPr>
          <w:p w14:paraId="495CE597"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36</w:t>
            </w:r>
          </w:p>
        </w:tc>
        <w:tc>
          <w:tcPr>
            <w:tcW w:w="846" w:type="pct"/>
          </w:tcPr>
          <w:p w14:paraId="0BE0BF8E"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3.69</w:t>
            </w:r>
          </w:p>
        </w:tc>
        <w:tc>
          <w:tcPr>
            <w:tcW w:w="761" w:type="pct"/>
          </w:tcPr>
          <w:p w14:paraId="48215B10" w14:textId="77777777" w:rsidR="00A749A0" w:rsidRDefault="00A749A0" w:rsidP="00A749A0">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55.68*</w:t>
            </w:r>
          </w:p>
        </w:tc>
      </w:tr>
      <w:tr w:rsidR="00A749A0" w:rsidRPr="009C6CD3" w14:paraId="6E40CFCB" w14:textId="77777777" w:rsidTr="004E26EB">
        <w:trPr>
          <w:trHeight w:val="309"/>
        </w:trPr>
        <w:tc>
          <w:tcPr>
            <w:tcW w:w="1327" w:type="pct"/>
          </w:tcPr>
          <w:p w14:paraId="5D68ABCF"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Problems</w:t>
            </w:r>
          </w:p>
        </w:tc>
        <w:tc>
          <w:tcPr>
            <w:tcW w:w="1079" w:type="pct"/>
          </w:tcPr>
          <w:p w14:paraId="139409CE"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183</w:t>
            </w:r>
          </w:p>
        </w:tc>
        <w:tc>
          <w:tcPr>
            <w:tcW w:w="987" w:type="pct"/>
          </w:tcPr>
          <w:p w14:paraId="3148E300"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87</w:t>
            </w:r>
          </w:p>
        </w:tc>
        <w:tc>
          <w:tcPr>
            <w:tcW w:w="846" w:type="pct"/>
          </w:tcPr>
          <w:p w14:paraId="5439558F"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2.10</w:t>
            </w:r>
          </w:p>
        </w:tc>
        <w:tc>
          <w:tcPr>
            <w:tcW w:w="761" w:type="pct"/>
          </w:tcPr>
          <w:p w14:paraId="369431A1"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34.13*</w:t>
            </w:r>
          </w:p>
        </w:tc>
      </w:tr>
      <w:tr w:rsidR="00A749A0" w:rsidRPr="009C6CD3" w14:paraId="6B886845" w14:textId="77777777" w:rsidTr="004E26EB">
        <w:trPr>
          <w:trHeight w:val="309"/>
        </w:trPr>
        <w:tc>
          <w:tcPr>
            <w:tcW w:w="1327" w:type="pct"/>
          </w:tcPr>
          <w:p w14:paraId="47708493"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Demonstrations</w:t>
            </w:r>
          </w:p>
        </w:tc>
        <w:tc>
          <w:tcPr>
            <w:tcW w:w="1079" w:type="pct"/>
          </w:tcPr>
          <w:p w14:paraId="429ACF8C"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70</w:t>
            </w:r>
          </w:p>
        </w:tc>
        <w:tc>
          <w:tcPr>
            <w:tcW w:w="987" w:type="pct"/>
          </w:tcPr>
          <w:p w14:paraId="48190706"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18</w:t>
            </w:r>
          </w:p>
        </w:tc>
        <w:tc>
          <w:tcPr>
            <w:tcW w:w="846" w:type="pct"/>
          </w:tcPr>
          <w:p w14:paraId="032F50DE"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3.89</w:t>
            </w:r>
          </w:p>
        </w:tc>
        <w:tc>
          <w:tcPr>
            <w:tcW w:w="761" w:type="pct"/>
          </w:tcPr>
          <w:p w14:paraId="493E0667"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30.73*</w:t>
            </w:r>
          </w:p>
        </w:tc>
      </w:tr>
      <w:tr w:rsidR="00A749A0" w:rsidRPr="009C6CD3" w14:paraId="4EAF92A6" w14:textId="77777777" w:rsidTr="004E26EB">
        <w:trPr>
          <w:trHeight w:val="309"/>
        </w:trPr>
        <w:tc>
          <w:tcPr>
            <w:tcW w:w="1327" w:type="pct"/>
          </w:tcPr>
          <w:p w14:paraId="6B152184"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Peer Discussion</w:t>
            </w:r>
          </w:p>
        </w:tc>
        <w:tc>
          <w:tcPr>
            <w:tcW w:w="1079" w:type="pct"/>
          </w:tcPr>
          <w:p w14:paraId="24B3A7EF"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51</w:t>
            </w:r>
          </w:p>
        </w:tc>
        <w:tc>
          <w:tcPr>
            <w:tcW w:w="987" w:type="pct"/>
          </w:tcPr>
          <w:p w14:paraId="1B3E53B8"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22</w:t>
            </w:r>
          </w:p>
        </w:tc>
        <w:tc>
          <w:tcPr>
            <w:tcW w:w="846" w:type="pct"/>
          </w:tcPr>
          <w:p w14:paraId="411E6FCB"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2.31</w:t>
            </w:r>
          </w:p>
        </w:tc>
        <w:tc>
          <w:tcPr>
            <w:tcW w:w="761" w:type="pct"/>
          </w:tcPr>
          <w:p w14:paraId="47B39031"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11.52*</w:t>
            </w:r>
          </w:p>
        </w:tc>
      </w:tr>
      <w:tr w:rsidR="00A749A0" w:rsidRPr="009C6CD3" w14:paraId="21EC1411" w14:textId="77777777" w:rsidTr="004E26EB">
        <w:trPr>
          <w:trHeight w:val="309"/>
        </w:trPr>
        <w:tc>
          <w:tcPr>
            <w:tcW w:w="1327" w:type="pct"/>
          </w:tcPr>
          <w:p w14:paraId="4099C4E5"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Group Work</w:t>
            </w:r>
          </w:p>
        </w:tc>
        <w:tc>
          <w:tcPr>
            <w:tcW w:w="1079" w:type="pct"/>
          </w:tcPr>
          <w:p w14:paraId="66234FD1"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41</w:t>
            </w:r>
          </w:p>
        </w:tc>
        <w:tc>
          <w:tcPr>
            <w:tcW w:w="987" w:type="pct"/>
          </w:tcPr>
          <w:p w14:paraId="73BA01D4"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27</w:t>
            </w:r>
          </w:p>
        </w:tc>
        <w:tc>
          <w:tcPr>
            <w:tcW w:w="846" w:type="pct"/>
          </w:tcPr>
          <w:p w14:paraId="41E51A5A"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1.52</w:t>
            </w:r>
          </w:p>
        </w:tc>
        <w:tc>
          <w:tcPr>
            <w:tcW w:w="761" w:type="pct"/>
          </w:tcPr>
          <w:p w14:paraId="0D30BDC0"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2.88*</w:t>
            </w:r>
          </w:p>
        </w:tc>
      </w:tr>
      <w:tr w:rsidR="00A749A0" w:rsidRPr="009C6CD3" w14:paraId="79876275" w14:textId="77777777" w:rsidTr="004E26EB">
        <w:trPr>
          <w:trHeight w:val="309"/>
        </w:trPr>
        <w:tc>
          <w:tcPr>
            <w:tcW w:w="1327" w:type="pct"/>
            <w:tcBorders>
              <w:bottom w:val="single" w:sz="6" w:space="0" w:color="auto"/>
            </w:tcBorders>
          </w:tcPr>
          <w:p w14:paraId="78CA952E" w14:textId="77777777" w:rsidR="00A749A0" w:rsidRPr="009C6CD3" w:rsidRDefault="00A749A0" w:rsidP="00841A9B">
            <w:pPr>
              <w:widowControl w:val="0"/>
              <w:autoSpaceDE w:val="0"/>
              <w:autoSpaceDN w:val="0"/>
              <w:adjustRightInd w:val="0"/>
              <w:spacing w:after="0"/>
              <w:rPr>
                <w:rFonts w:ascii="Times New Roman" w:hAnsi="Times New Roman" w:cs="Verdana"/>
                <w:color w:val="000000"/>
                <w:szCs w:val="20"/>
              </w:rPr>
            </w:pPr>
            <w:r w:rsidRPr="009C6CD3">
              <w:rPr>
                <w:rFonts w:ascii="Times New Roman" w:hAnsi="Times New Roman" w:cs="Verdana"/>
                <w:color w:val="000000"/>
                <w:szCs w:val="20"/>
              </w:rPr>
              <w:t>Clickers</w:t>
            </w:r>
          </w:p>
        </w:tc>
        <w:tc>
          <w:tcPr>
            <w:tcW w:w="1079" w:type="pct"/>
            <w:tcBorders>
              <w:bottom w:val="single" w:sz="6" w:space="0" w:color="auto"/>
            </w:tcBorders>
          </w:tcPr>
          <w:p w14:paraId="0ECA1115"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8</w:t>
            </w:r>
          </w:p>
        </w:tc>
        <w:tc>
          <w:tcPr>
            <w:tcW w:w="987" w:type="pct"/>
            <w:tcBorders>
              <w:bottom w:val="single" w:sz="6" w:space="0" w:color="auto"/>
            </w:tcBorders>
          </w:tcPr>
          <w:p w14:paraId="78FE0068"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sidRPr="009C6CD3">
              <w:rPr>
                <w:rFonts w:ascii="Times New Roman" w:hAnsi="Times New Roman" w:cs="Verdana"/>
                <w:color w:val="000000"/>
                <w:szCs w:val="20"/>
              </w:rPr>
              <w:t>40</w:t>
            </w:r>
          </w:p>
        </w:tc>
        <w:tc>
          <w:tcPr>
            <w:tcW w:w="846" w:type="pct"/>
            <w:tcBorders>
              <w:bottom w:val="single" w:sz="6" w:space="0" w:color="auto"/>
            </w:tcBorders>
          </w:tcPr>
          <w:p w14:paraId="4362954F" w14:textId="77777777" w:rsidR="00A749A0" w:rsidRPr="009C6CD3"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0.20</w:t>
            </w:r>
          </w:p>
        </w:tc>
        <w:tc>
          <w:tcPr>
            <w:tcW w:w="761" w:type="pct"/>
            <w:tcBorders>
              <w:bottom w:val="single" w:sz="6" w:space="0" w:color="auto"/>
            </w:tcBorders>
          </w:tcPr>
          <w:p w14:paraId="3806D789" w14:textId="77777777" w:rsidR="00A749A0" w:rsidRDefault="00A749A0" w:rsidP="00841A9B">
            <w:pPr>
              <w:widowControl w:val="0"/>
              <w:autoSpaceDE w:val="0"/>
              <w:autoSpaceDN w:val="0"/>
              <w:adjustRightInd w:val="0"/>
              <w:spacing w:after="0"/>
              <w:jc w:val="center"/>
              <w:rPr>
                <w:rFonts w:ascii="Times New Roman" w:hAnsi="Times New Roman" w:cs="Verdana"/>
                <w:color w:val="000000"/>
                <w:szCs w:val="20"/>
              </w:rPr>
            </w:pPr>
            <w:r>
              <w:rPr>
                <w:rFonts w:ascii="Times New Roman" w:hAnsi="Times New Roman" w:cs="Verdana"/>
                <w:color w:val="000000"/>
                <w:szCs w:val="20"/>
              </w:rPr>
              <w:t>21.33*</w:t>
            </w:r>
          </w:p>
        </w:tc>
      </w:tr>
    </w:tbl>
    <w:p w14:paraId="59D90B7A" w14:textId="77777777" w:rsidR="00841A9B" w:rsidRDefault="00E06032" w:rsidP="00841A9B">
      <w:pPr>
        <w:pStyle w:val="BodyText"/>
        <w:ind w:firstLine="0"/>
      </w:pPr>
      <w:r>
        <w:rPr>
          <w:rFonts w:cs="Verdana"/>
          <w:color w:val="000000"/>
          <w:szCs w:val="20"/>
        </w:rPr>
        <w:t>* indicates significance at p &lt; 0.05</w:t>
      </w:r>
    </w:p>
    <w:p w14:paraId="769A3397" w14:textId="77777777" w:rsidR="00841A9B" w:rsidRDefault="00841A9B" w:rsidP="00841A9B">
      <w:pPr>
        <w:pStyle w:val="BodyText"/>
      </w:pPr>
      <w:r>
        <w:t>So, what went wrong with clickers? At the very least, one might expect a ratio similar to lecture or note taking.  To try and contextualize this finding, the open response field for comments was examined.  This was an optional part of the survey, so not all students chose to leave comments, but many did.  Each comment was reviewed for a reference to clickers.  Several students offered comments that provide insight to this trend, most indicating the use of clickers for attendance or ‘high stakes’ assessment and attendance.  Several of the comments are provided below:</w:t>
      </w:r>
    </w:p>
    <w:p w14:paraId="14BA13C1" w14:textId="77777777" w:rsidR="00841A9B" w:rsidRDefault="00841A9B" w:rsidP="00841A9B">
      <w:pPr>
        <w:pStyle w:val="BlockQuote"/>
      </w:pPr>
      <w:r>
        <w:t>Student Response 1: As a side note, it's my opinion that clickers are a very ineffective way of teaching a course.  They encourage attendance, yes, but attendance might not be fully necessary for some students to truly excel in a course.  Clickers have, however, been used effectively in at least one of my classes, where the grades from clickers were basically not counted and were used more for class polling and assessment on whether or not more work in a particular topic area was necessary.</w:t>
      </w:r>
    </w:p>
    <w:p w14:paraId="41949C2B" w14:textId="77777777" w:rsidR="00841A9B" w:rsidRDefault="00841A9B" w:rsidP="00841A9B">
      <w:pPr>
        <w:pStyle w:val="BlockQuote"/>
      </w:pPr>
    </w:p>
    <w:p w14:paraId="7D37FB47" w14:textId="77777777" w:rsidR="00841A9B" w:rsidRDefault="00841A9B" w:rsidP="00841A9B">
      <w:pPr>
        <w:pStyle w:val="BlockQuote"/>
      </w:pPr>
      <w:r>
        <w:t xml:space="preserve">Student Response 2: Clickers may be an effective way for professors to receive immediate feedback from students during a lecture, but typically most professors who use clickers only use them at the beginning of class for </w:t>
      </w:r>
      <w:r>
        <w:lastRenderedPageBreak/>
        <w:t>attendance purposes only (or if they are used during the lecture, a grade is assigned to the student based on the response).  Clickers should be used as a tool for professors to judge the students awareness of the material; assigning grades to clicker responses may actually lower a student's grade if they do not immediately grasp the material.</w:t>
      </w:r>
    </w:p>
    <w:p w14:paraId="67AFD4F1" w14:textId="77777777" w:rsidR="00841A9B" w:rsidRDefault="00841A9B" w:rsidP="00841A9B">
      <w:pPr>
        <w:pStyle w:val="BlockQuote"/>
      </w:pPr>
    </w:p>
    <w:p w14:paraId="5F890F05" w14:textId="77777777" w:rsidR="00841A9B" w:rsidRDefault="00841A9B" w:rsidP="00841A9B">
      <w:pPr>
        <w:pStyle w:val="BlockQuote"/>
      </w:pPr>
      <w:r>
        <w:t>Student Response 3: I have always disliked the way in which clickers were used in my classes as a lazy way for professors to take attendance and force students to respond to questions without actually interacting with us.</w:t>
      </w:r>
    </w:p>
    <w:p w14:paraId="28121B1E" w14:textId="77777777" w:rsidR="00841A9B" w:rsidRDefault="00841A9B" w:rsidP="00841A9B">
      <w:pPr>
        <w:pStyle w:val="BodyText"/>
        <w:ind w:firstLine="0"/>
      </w:pPr>
    </w:p>
    <w:p w14:paraId="59A721BE" w14:textId="77777777" w:rsidR="00841A9B" w:rsidRDefault="00841A9B" w:rsidP="00841A9B">
      <w:pPr>
        <w:pStyle w:val="BodyText"/>
      </w:pPr>
      <w:r>
        <w:t>Tools are often reinvented to fit existing notions of practice (Rogers, 2003) and the examples shown above are driven by an accountability-based strategy to increase class attendance.  While these uses o</w:t>
      </w:r>
      <w:r w:rsidRPr="000342FF">
        <w:t>f clickers can certainly coax students to come to class, it does not change the nature of the in-class instruction</w:t>
      </w:r>
      <w:r>
        <w:t xml:space="preserve">.  </w:t>
      </w:r>
      <w:r w:rsidRPr="000342FF">
        <w:t xml:space="preserve">Hattie and </w:t>
      </w:r>
      <w:proofErr w:type="spellStart"/>
      <w:r w:rsidRPr="000342FF">
        <w:t>Timperly</w:t>
      </w:r>
      <w:proofErr w:type="spellEnd"/>
      <w:r w:rsidRPr="000342FF">
        <w:t xml:space="preserve"> (2007) refer to this too often used type of assessment as a mechanism that is used to get students to “do more” or “do better.” The go on to point out that “Students receive little feedback information in these instances” and “rarely does such feed- back enhance the processes and metacognitive attributes of the task” (</w:t>
      </w:r>
      <w:r>
        <w:t xml:space="preserve">p. </w:t>
      </w:r>
      <w:r w:rsidRPr="000342FF">
        <w:t>101).</w:t>
      </w:r>
    </w:p>
    <w:p w14:paraId="7BC659AD" w14:textId="77777777" w:rsidR="00841A9B" w:rsidRDefault="00841A9B" w:rsidP="00841A9B">
      <w:pPr>
        <w:pStyle w:val="BodyText"/>
        <w:ind w:firstLine="0"/>
      </w:pPr>
    </w:p>
    <w:p w14:paraId="036B3205" w14:textId="77777777" w:rsidR="00841A9B" w:rsidRPr="0045590E" w:rsidRDefault="00841A9B" w:rsidP="00841A9B">
      <w:pPr>
        <w:pStyle w:val="Heading2"/>
      </w:pPr>
      <w:r w:rsidRPr="0045590E">
        <w:t xml:space="preserve">What </w:t>
      </w:r>
      <w:r>
        <w:t>went well – A roadmap for technology use</w:t>
      </w:r>
    </w:p>
    <w:p w14:paraId="0EA85D5A" w14:textId="0B790BB2" w:rsidR="00841A9B" w:rsidRDefault="00841A9B" w:rsidP="003F733B">
      <w:pPr>
        <w:pStyle w:val="BodyText"/>
      </w:pPr>
      <w:r>
        <w:t>Clickers did not resonate with the students who participated in this survey, but that still leaves the question, “what did?” If we look at the distribution of activities across the persistence of knowledge scale</w:t>
      </w:r>
      <w:r w:rsidR="004E26EB">
        <w:t xml:space="preserve"> (tables 4 and 5)</w:t>
      </w:r>
      <w:r>
        <w:t>, it sends a strong message that having students interact and actively apply knowledge while they are in-class is beneficial.  The distributions are not normal but skewed, which makes this argument more compelling.  The distribution for lecture and note taking are more normal.  The distribution for clickers is skewed, but not in the direction one would hope to see.</w:t>
      </w:r>
      <w:r w:rsidR="004E26EB">
        <w:t xml:space="preserve"> Table 4 presents the data </w:t>
      </w:r>
      <w:proofErr w:type="spellStart"/>
      <w:r w:rsidR="004E26EB">
        <w:t>nemrically</w:t>
      </w:r>
      <w:proofErr w:type="spellEnd"/>
      <w:r w:rsidR="004E26EB">
        <w:t xml:space="preserve"> while Table 5 shows the data for each </w:t>
      </w:r>
      <w:r w:rsidR="004E26EB">
        <w:lastRenderedPageBreak/>
        <w:t xml:space="preserve">row in bar chart format. The maximum values for each row is relative to the data in that row. The minimum value for each row is zero. This was done to illustrate the overall trends at each level. </w:t>
      </w:r>
    </w:p>
    <w:p w14:paraId="6C120C5A" w14:textId="19AD9B7B" w:rsidR="00841A9B" w:rsidRDefault="00841A9B" w:rsidP="00841A9B">
      <w:pPr>
        <w:pStyle w:val="TableHeading"/>
      </w:pPr>
      <w:r w:rsidRPr="00AF25D2">
        <w:t xml:space="preserve">Table </w:t>
      </w:r>
      <w:r w:rsidR="00693EC2">
        <w:t>4</w:t>
      </w:r>
    </w:p>
    <w:p w14:paraId="0B70BD8D" w14:textId="77777777" w:rsidR="00841A9B" w:rsidRPr="00BA245F" w:rsidRDefault="00841A9B" w:rsidP="00841A9B">
      <w:pPr>
        <w:pStyle w:val="TableHeading"/>
        <w:rPr>
          <w:i/>
        </w:rPr>
      </w:pPr>
      <w:r>
        <w:rPr>
          <w:i/>
        </w:rPr>
        <w:t>Comparison of instructional technique and its distribution on the mastery scale</w:t>
      </w:r>
    </w:p>
    <w:tbl>
      <w:tblPr>
        <w:tblW w:w="5000" w:type="pct"/>
        <w:tblLook w:val="04A0" w:firstRow="1" w:lastRow="0" w:firstColumn="1" w:lastColumn="0" w:noHBand="0" w:noVBand="1"/>
      </w:tblPr>
      <w:tblGrid>
        <w:gridCol w:w="2503"/>
        <w:gridCol w:w="1372"/>
        <w:gridCol w:w="1372"/>
        <w:gridCol w:w="1374"/>
        <w:gridCol w:w="1372"/>
        <w:gridCol w:w="1367"/>
      </w:tblGrid>
      <w:tr w:rsidR="00841A9B" w:rsidRPr="00F22168" w14:paraId="6F25A203" w14:textId="77777777">
        <w:trPr>
          <w:trHeight w:val="439"/>
        </w:trPr>
        <w:tc>
          <w:tcPr>
            <w:tcW w:w="1337" w:type="pct"/>
            <w:tcBorders>
              <w:top w:val="single" w:sz="4" w:space="0" w:color="auto"/>
            </w:tcBorders>
            <w:shd w:val="clear" w:color="auto" w:fill="auto"/>
          </w:tcPr>
          <w:p w14:paraId="7F249094" w14:textId="77777777" w:rsidR="00841A9B" w:rsidRPr="00F22168" w:rsidRDefault="00841A9B" w:rsidP="00841A9B">
            <w:pPr>
              <w:pStyle w:val="TableText"/>
            </w:pPr>
            <w:r>
              <w:t>Instructional Technique</w:t>
            </w:r>
          </w:p>
        </w:tc>
        <w:tc>
          <w:tcPr>
            <w:tcW w:w="3663" w:type="pct"/>
            <w:gridSpan w:val="5"/>
            <w:tcBorders>
              <w:top w:val="single" w:sz="4" w:space="0" w:color="auto"/>
            </w:tcBorders>
            <w:shd w:val="clear" w:color="auto" w:fill="auto"/>
          </w:tcPr>
          <w:p w14:paraId="38CB6D1C" w14:textId="77777777" w:rsidR="00841A9B" w:rsidRPr="00F22168" w:rsidRDefault="00841A9B" w:rsidP="00841A9B">
            <w:pPr>
              <w:pStyle w:val="TableText"/>
            </w:pPr>
            <w:r>
              <w:t>Persistence of Knowledge Scale</w:t>
            </w:r>
          </w:p>
        </w:tc>
      </w:tr>
      <w:tr w:rsidR="00841A9B" w:rsidRPr="00F22168" w14:paraId="68CC248A" w14:textId="77777777">
        <w:trPr>
          <w:trHeight w:val="439"/>
        </w:trPr>
        <w:tc>
          <w:tcPr>
            <w:tcW w:w="1337" w:type="pct"/>
            <w:tcBorders>
              <w:bottom w:val="single" w:sz="4" w:space="0" w:color="auto"/>
            </w:tcBorders>
            <w:shd w:val="clear" w:color="auto" w:fill="auto"/>
          </w:tcPr>
          <w:p w14:paraId="11C53AF0" w14:textId="77777777" w:rsidR="00841A9B" w:rsidRPr="00F22168" w:rsidRDefault="00841A9B" w:rsidP="00841A9B">
            <w:pPr>
              <w:pStyle w:val="TableText"/>
            </w:pPr>
          </w:p>
        </w:tc>
        <w:tc>
          <w:tcPr>
            <w:tcW w:w="733" w:type="pct"/>
            <w:tcBorders>
              <w:bottom w:val="single" w:sz="4" w:space="0" w:color="auto"/>
            </w:tcBorders>
            <w:shd w:val="clear" w:color="auto" w:fill="auto"/>
          </w:tcPr>
          <w:p w14:paraId="5672C7C0" w14:textId="77777777" w:rsidR="00841A9B" w:rsidRPr="00F22168" w:rsidRDefault="00841A9B" w:rsidP="00841A9B">
            <w:pPr>
              <w:pStyle w:val="TableText"/>
            </w:pPr>
            <w:r>
              <w:t>L=</w:t>
            </w:r>
            <w:r w:rsidRPr="00F22168">
              <w:t>1</w:t>
            </w:r>
          </w:p>
        </w:tc>
        <w:tc>
          <w:tcPr>
            <w:tcW w:w="733" w:type="pct"/>
            <w:tcBorders>
              <w:bottom w:val="single" w:sz="4" w:space="0" w:color="auto"/>
            </w:tcBorders>
            <w:shd w:val="clear" w:color="auto" w:fill="auto"/>
          </w:tcPr>
          <w:p w14:paraId="0C66044B" w14:textId="77777777" w:rsidR="00841A9B" w:rsidRPr="00F22168" w:rsidRDefault="00841A9B" w:rsidP="00841A9B">
            <w:pPr>
              <w:pStyle w:val="TableText"/>
            </w:pPr>
            <w:r>
              <w:t>L=</w:t>
            </w:r>
            <w:r w:rsidRPr="00F22168">
              <w:t>2</w:t>
            </w:r>
          </w:p>
        </w:tc>
        <w:tc>
          <w:tcPr>
            <w:tcW w:w="734" w:type="pct"/>
            <w:tcBorders>
              <w:bottom w:val="single" w:sz="4" w:space="0" w:color="auto"/>
            </w:tcBorders>
            <w:shd w:val="clear" w:color="auto" w:fill="auto"/>
          </w:tcPr>
          <w:p w14:paraId="40BF682B" w14:textId="77777777" w:rsidR="00841A9B" w:rsidRPr="00F22168" w:rsidRDefault="00841A9B" w:rsidP="00841A9B">
            <w:pPr>
              <w:pStyle w:val="TableText"/>
            </w:pPr>
            <w:r>
              <w:t>L=</w:t>
            </w:r>
            <w:r w:rsidRPr="00F22168">
              <w:t>3</w:t>
            </w:r>
          </w:p>
        </w:tc>
        <w:tc>
          <w:tcPr>
            <w:tcW w:w="733" w:type="pct"/>
            <w:tcBorders>
              <w:bottom w:val="single" w:sz="4" w:space="0" w:color="auto"/>
            </w:tcBorders>
            <w:shd w:val="clear" w:color="auto" w:fill="auto"/>
          </w:tcPr>
          <w:p w14:paraId="0A0C18EF" w14:textId="77777777" w:rsidR="00841A9B" w:rsidRPr="00F22168" w:rsidRDefault="00841A9B" w:rsidP="00841A9B">
            <w:pPr>
              <w:pStyle w:val="TableText"/>
            </w:pPr>
            <w:r>
              <w:t>L=</w:t>
            </w:r>
            <w:r w:rsidRPr="00F22168">
              <w:t>4</w:t>
            </w:r>
          </w:p>
        </w:tc>
        <w:tc>
          <w:tcPr>
            <w:tcW w:w="730" w:type="pct"/>
            <w:tcBorders>
              <w:bottom w:val="single" w:sz="4" w:space="0" w:color="auto"/>
            </w:tcBorders>
            <w:shd w:val="clear" w:color="auto" w:fill="auto"/>
          </w:tcPr>
          <w:p w14:paraId="0D253E1A" w14:textId="77777777" w:rsidR="00841A9B" w:rsidRPr="00F22168" w:rsidRDefault="00841A9B" w:rsidP="00841A9B">
            <w:pPr>
              <w:pStyle w:val="TableText"/>
            </w:pPr>
            <w:r>
              <w:t>L=</w:t>
            </w:r>
            <w:r w:rsidRPr="00F22168">
              <w:t>5</w:t>
            </w:r>
          </w:p>
        </w:tc>
      </w:tr>
      <w:tr w:rsidR="00841A9B" w:rsidRPr="00F22168" w14:paraId="2FD13400" w14:textId="77777777">
        <w:trPr>
          <w:trHeight w:val="439"/>
        </w:trPr>
        <w:tc>
          <w:tcPr>
            <w:tcW w:w="1337" w:type="pct"/>
            <w:tcBorders>
              <w:top w:val="single" w:sz="4" w:space="0" w:color="auto"/>
            </w:tcBorders>
            <w:shd w:val="clear" w:color="auto" w:fill="auto"/>
          </w:tcPr>
          <w:p w14:paraId="7AA2ABB4" w14:textId="77777777" w:rsidR="00841A9B" w:rsidRPr="00F22168" w:rsidRDefault="00841A9B" w:rsidP="00841A9B">
            <w:pPr>
              <w:pStyle w:val="TableText"/>
            </w:pPr>
            <w:r w:rsidRPr="00F22168">
              <w:t>Lecture</w:t>
            </w:r>
          </w:p>
        </w:tc>
        <w:tc>
          <w:tcPr>
            <w:tcW w:w="733" w:type="pct"/>
            <w:tcBorders>
              <w:top w:val="single" w:sz="4" w:space="0" w:color="auto"/>
            </w:tcBorders>
            <w:shd w:val="clear" w:color="auto" w:fill="auto"/>
          </w:tcPr>
          <w:p w14:paraId="4DA215F8" w14:textId="77777777" w:rsidR="00841A9B" w:rsidRPr="00F22168" w:rsidRDefault="00841A9B" w:rsidP="00841A9B">
            <w:pPr>
              <w:pStyle w:val="TableText"/>
            </w:pPr>
            <w:r w:rsidRPr="00F22168">
              <w:t>49</w:t>
            </w:r>
          </w:p>
        </w:tc>
        <w:tc>
          <w:tcPr>
            <w:tcW w:w="733" w:type="pct"/>
            <w:tcBorders>
              <w:top w:val="single" w:sz="4" w:space="0" w:color="auto"/>
            </w:tcBorders>
            <w:shd w:val="clear" w:color="auto" w:fill="auto"/>
          </w:tcPr>
          <w:p w14:paraId="5E31B56A" w14:textId="77777777" w:rsidR="00841A9B" w:rsidRPr="00F22168" w:rsidRDefault="00841A9B" w:rsidP="00841A9B">
            <w:pPr>
              <w:pStyle w:val="TableText"/>
            </w:pPr>
            <w:r w:rsidRPr="00F22168">
              <w:t>120</w:t>
            </w:r>
          </w:p>
        </w:tc>
        <w:tc>
          <w:tcPr>
            <w:tcW w:w="734" w:type="pct"/>
            <w:tcBorders>
              <w:top w:val="single" w:sz="4" w:space="0" w:color="auto"/>
            </w:tcBorders>
            <w:shd w:val="clear" w:color="auto" w:fill="auto"/>
          </w:tcPr>
          <w:p w14:paraId="34099A0C" w14:textId="77777777" w:rsidR="00841A9B" w:rsidRPr="00F22168" w:rsidRDefault="00841A9B" w:rsidP="00841A9B">
            <w:pPr>
              <w:pStyle w:val="TableText"/>
            </w:pPr>
            <w:r w:rsidRPr="00F22168">
              <w:t>91</w:t>
            </w:r>
          </w:p>
        </w:tc>
        <w:tc>
          <w:tcPr>
            <w:tcW w:w="733" w:type="pct"/>
            <w:tcBorders>
              <w:top w:val="single" w:sz="4" w:space="0" w:color="auto"/>
            </w:tcBorders>
            <w:shd w:val="clear" w:color="auto" w:fill="auto"/>
          </w:tcPr>
          <w:p w14:paraId="6F677F78" w14:textId="77777777" w:rsidR="00841A9B" w:rsidRPr="00F22168" w:rsidRDefault="00841A9B" w:rsidP="00841A9B">
            <w:pPr>
              <w:pStyle w:val="TableText"/>
            </w:pPr>
            <w:r w:rsidRPr="00F22168">
              <w:t>125</w:t>
            </w:r>
          </w:p>
        </w:tc>
        <w:tc>
          <w:tcPr>
            <w:tcW w:w="730" w:type="pct"/>
            <w:tcBorders>
              <w:top w:val="single" w:sz="4" w:space="0" w:color="auto"/>
            </w:tcBorders>
            <w:shd w:val="clear" w:color="auto" w:fill="auto"/>
          </w:tcPr>
          <w:p w14:paraId="709218E0" w14:textId="77777777" w:rsidR="00841A9B" w:rsidRPr="00F22168" w:rsidRDefault="00841A9B" w:rsidP="00841A9B">
            <w:pPr>
              <w:pStyle w:val="TableText"/>
            </w:pPr>
            <w:r w:rsidRPr="00F22168">
              <w:t>43</w:t>
            </w:r>
          </w:p>
        </w:tc>
      </w:tr>
      <w:tr w:rsidR="00841A9B" w:rsidRPr="00F22168" w14:paraId="634218FF" w14:textId="77777777">
        <w:trPr>
          <w:trHeight w:val="439"/>
        </w:trPr>
        <w:tc>
          <w:tcPr>
            <w:tcW w:w="1337" w:type="pct"/>
            <w:shd w:val="clear" w:color="auto" w:fill="auto"/>
          </w:tcPr>
          <w:p w14:paraId="07C4A9C3" w14:textId="77777777" w:rsidR="00841A9B" w:rsidRPr="00F22168" w:rsidRDefault="00841A9B" w:rsidP="00841A9B">
            <w:pPr>
              <w:pStyle w:val="TableText"/>
            </w:pPr>
            <w:r>
              <w:t>Note Taking</w:t>
            </w:r>
          </w:p>
        </w:tc>
        <w:tc>
          <w:tcPr>
            <w:tcW w:w="733" w:type="pct"/>
            <w:shd w:val="clear" w:color="auto" w:fill="auto"/>
          </w:tcPr>
          <w:p w14:paraId="1EB15570" w14:textId="77777777" w:rsidR="00841A9B" w:rsidRPr="00F22168" w:rsidRDefault="00841A9B" w:rsidP="00841A9B">
            <w:pPr>
              <w:pStyle w:val="TableText"/>
            </w:pPr>
            <w:r w:rsidRPr="00F22168">
              <w:t>40</w:t>
            </w:r>
          </w:p>
        </w:tc>
        <w:tc>
          <w:tcPr>
            <w:tcW w:w="733" w:type="pct"/>
            <w:shd w:val="clear" w:color="auto" w:fill="auto"/>
          </w:tcPr>
          <w:p w14:paraId="14277AFD" w14:textId="77777777" w:rsidR="00841A9B" w:rsidRPr="00F22168" w:rsidRDefault="00841A9B" w:rsidP="00841A9B">
            <w:pPr>
              <w:pStyle w:val="TableText"/>
            </w:pPr>
            <w:r w:rsidRPr="00F22168">
              <w:t>110</w:t>
            </w:r>
          </w:p>
        </w:tc>
        <w:tc>
          <w:tcPr>
            <w:tcW w:w="734" w:type="pct"/>
            <w:shd w:val="clear" w:color="auto" w:fill="auto"/>
          </w:tcPr>
          <w:p w14:paraId="49A5F275" w14:textId="77777777" w:rsidR="00841A9B" w:rsidRPr="00F22168" w:rsidRDefault="00841A9B" w:rsidP="00841A9B">
            <w:pPr>
              <w:pStyle w:val="TableText"/>
            </w:pPr>
            <w:r w:rsidRPr="00F22168">
              <w:t>80</w:t>
            </w:r>
          </w:p>
        </w:tc>
        <w:tc>
          <w:tcPr>
            <w:tcW w:w="733" w:type="pct"/>
            <w:shd w:val="clear" w:color="auto" w:fill="auto"/>
          </w:tcPr>
          <w:p w14:paraId="7E535555" w14:textId="77777777" w:rsidR="00841A9B" w:rsidRPr="00F22168" w:rsidRDefault="00841A9B" w:rsidP="00841A9B">
            <w:pPr>
              <w:pStyle w:val="TableText"/>
            </w:pPr>
            <w:r w:rsidRPr="00F22168">
              <w:t>102</w:t>
            </w:r>
          </w:p>
        </w:tc>
        <w:tc>
          <w:tcPr>
            <w:tcW w:w="730" w:type="pct"/>
            <w:shd w:val="clear" w:color="auto" w:fill="auto"/>
          </w:tcPr>
          <w:p w14:paraId="5DFD8E1F" w14:textId="77777777" w:rsidR="00841A9B" w:rsidRPr="00F22168" w:rsidRDefault="00841A9B" w:rsidP="00841A9B">
            <w:pPr>
              <w:pStyle w:val="TableText"/>
            </w:pPr>
            <w:r w:rsidRPr="00F22168">
              <w:t>45</w:t>
            </w:r>
          </w:p>
        </w:tc>
      </w:tr>
      <w:tr w:rsidR="00841A9B" w:rsidRPr="00F22168" w14:paraId="5FAEE5E8" w14:textId="77777777">
        <w:trPr>
          <w:trHeight w:val="439"/>
        </w:trPr>
        <w:tc>
          <w:tcPr>
            <w:tcW w:w="1337" w:type="pct"/>
            <w:shd w:val="clear" w:color="auto" w:fill="auto"/>
          </w:tcPr>
          <w:p w14:paraId="79C5D164" w14:textId="77777777" w:rsidR="00841A9B" w:rsidRPr="00F22168" w:rsidRDefault="00841A9B" w:rsidP="00841A9B">
            <w:pPr>
              <w:pStyle w:val="TableText"/>
            </w:pPr>
            <w:r w:rsidRPr="00F22168">
              <w:t>Group Work</w:t>
            </w:r>
          </w:p>
        </w:tc>
        <w:tc>
          <w:tcPr>
            <w:tcW w:w="733" w:type="pct"/>
            <w:shd w:val="clear" w:color="auto" w:fill="auto"/>
          </w:tcPr>
          <w:p w14:paraId="34FED29A" w14:textId="77777777" w:rsidR="00841A9B" w:rsidRPr="00F22168" w:rsidRDefault="00841A9B" w:rsidP="00841A9B">
            <w:pPr>
              <w:pStyle w:val="TableText"/>
            </w:pPr>
            <w:r w:rsidRPr="00F22168">
              <w:t>3</w:t>
            </w:r>
          </w:p>
        </w:tc>
        <w:tc>
          <w:tcPr>
            <w:tcW w:w="733" w:type="pct"/>
            <w:shd w:val="clear" w:color="auto" w:fill="auto"/>
          </w:tcPr>
          <w:p w14:paraId="2EE23FBA" w14:textId="77777777" w:rsidR="00841A9B" w:rsidRPr="00F22168" w:rsidRDefault="00841A9B" w:rsidP="00841A9B">
            <w:pPr>
              <w:pStyle w:val="TableText"/>
            </w:pPr>
            <w:r w:rsidRPr="00F22168">
              <w:t>8</w:t>
            </w:r>
          </w:p>
        </w:tc>
        <w:tc>
          <w:tcPr>
            <w:tcW w:w="734" w:type="pct"/>
            <w:shd w:val="clear" w:color="auto" w:fill="auto"/>
          </w:tcPr>
          <w:p w14:paraId="38B39DFC" w14:textId="77777777" w:rsidR="00841A9B" w:rsidRPr="00F22168" w:rsidRDefault="00841A9B" w:rsidP="00841A9B">
            <w:pPr>
              <w:pStyle w:val="TableText"/>
            </w:pPr>
            <w:r w:rsidRPr="00F22168">
              <w:t>19</w:t>
            </w:r>
          </w:p>
        </w:tc>
        <w:tc>
          <w:tcPr>
            <w:tcW w:w="733" w:type="pct"/>
            <w:shd w:val="clear" w:color="auto" w:fill="auto"/>
          </w:tcPr>
          <w:p w14:paraId="5DC09719" w14:textId="77777777" w:rsidR="00841A9B" w:rsidRPr="00F22168" w:rsidRDefault="00841A9B" w:rsidP="00841A9B">
            <w:pPr>
              <w:pStyle w:val="TableText"/>
            </w:pPr>
            <w:r w:rsidRPr="00F22168">
              <w:t>23</w:t>
            </w:r>
          </w:p>
        </w:tc>
        <w:tc>
          <w:tcPr>
            <w:tcW w:w="730" w:type="pct"/>
            <w:shd w:val="clear" w:color="auto" w:fill="auto"/>
          </w:tcPr>
          <w:p w14:paraId="40719005" w14:textId="77777777" w:rsidR="00841A9B" w:rsidRPr="00F22168" w:rsidRDefault="00841A9B" w:rsidP="00841A9B">
            <w:pPr>
              <w:pStyle w:val="TableText"/>
            </w:pPr>
            <w:r w:rsidRPr="00F22168">
              <w:t>14</w:t>
            </w:r>
          </w:p>
        </w:tc>
      </w:tr>
      <w:tr w:rsidR="00841A9B" w:rsidRPr="00F22168" w14:paraId="40546A08" w14:textId="77777777">
        <w:trPr>
          <w:trHeight w:val="439"/>
        </w:trPr>
        <w:tc>
          <w:tcPr>
            <w:tcW w:w="1337" w:type="pct"/>
            <w:shd w:val="clear" w:color="auto" w:fill="auto"/>
          </w:tcPr>
          <w:p w14:paraId="53B6EA2B" w14:textId="77777777" w:rsidR="00841A9B" w:rsidRPr="00F22168" w:rsidRDefault="00841A9B" w:rsidP="00841A9B">
            <w:pPr>
              <w:pStyle w:val="TableText"/>
            </w:pPr>
            <w:r w:rsidRPr="00F22168">
              <w:t>Peer Discussion</w:t>
            </w:r>
          </w:p>
        </w:tc>
        <w:tc>
          <w:tcPr>
            <w:tcW w:w="733" w:type="pct"/>
            <w:shd w:val="clear" w:color="auto" w:fill="auto"/>
          </w:tcPr>
          <w:p w14:paraId="2B425B40" w14:textId="77777777" w:rsidR="00841A9B" w:rsidRPr="00F22168" w:rsidRDefault="00841A9B" w:rsidP="00841A9B">
            <w:pPr>
              <w:pStyle w:val="TableText"/>
            </w:pPr>
            <w:r w:rsidRPr="00F22168">
              <w:t>2</w:t>
            </w:r>
          </w:p>
        </w:tc>
        <w:tc>
          <w:tcPr>
            <w:tcW w:w="733" w:type="pct"/>
            <w:shd w:val="clear" w:color="auto" w:fill="auto"/>
          </w:tcPr>
          <w:p w14:paraId="2BB361BF" w14:textId="77777777" w:rsidR="00841A9B" w:rsidRPr="00F22168" w:rsidRDefault="00841A9B" w:rsidP="00841A9B">
            <w:pPr>
              <w:pStyle w:val="TableText"/>
            </w:pPr>
            <w:r w:rsidRPr="00F22168">
              <w:t>7</w:t>
            </w:r>
          </w:p>
        </w:tc>
        <w:tc>
          <w:tcPr>
            <w:tcW w:w="734" w:type="pct"/>
            <w:shd w:val="clear" w:color="auto" w:fill="auto"/>
          </w:tcPr>
          <w:p w14:paraId="1BB99868" w14:textId="77777777" w:rsidR="00841A9B" w:rsidRPr="00F22168" w:rsidRDefault="00841A9B" w:rsidP="00841A9B">
            <w:pPr>
              <w:pStyle w:val="TableText"/>
            </w:pPr>
            <w:r w:rsidRPr="00F22168">
              <w:t>18</w:t>
            </w:r>
          </w:p>
        </w:tc>
        <w:tc>
          <w:tcPr>
            <w:tcW w:w="733" w:type="pct"/>
            <w:shd w:val="clear" w:color="auto" w:fill="auto"/>
          </w:tcPr>
          <w:p w14:paraId="3A189437" w14:textId="77777777" w:rsidR="00841A9B" w:rsidRPr="00F22168" w:rsidRDefault="00841A9B" w:rsidP="00841A9B">
            <w:pPr>
              <w:pStyle w:val="TableText"/>
            </w:pPr>
            <w:r w:rsidRPr="00F22168">
              <w:t>25</w:t>
            </w:r>
          </w:p>
        </w:tc>
        <w:tc>
          <w:tcPr>
            <w:tcW w:w="730" w:type="pct"/>
            <w:shd w:val="clear" w:color="auto" w:fill="auto"/>
          </w:tcPr>
          <w:p w14:paraId="5BFAD1ED" w14:textId="77777777" w:rsidR="00841A9B" w:rsidRPr="00F22168" w:rsidRDefault="00841A9B" w:rsidP="00841A9B">
            <w:pPr>
              <w:pStyle w:val="TableText"/>
            </w:pPr>
            <w:r w:rsidRPr="00F22168">
              <w:t>21</w:t>
            </w:r>
          </w:p>
        </w:tc>
      </w:tr>
      <w:tr w:rsidR="00841A9B" w:rsidRPr="00F22168" w14:paraId="3998459C" w14:textId="77777777">
        <w:trPr>
          <w:trHeight w:val="439"/>
        </w:trPr>
        <w:tc>
          <w:tcPr>
            <w:tcW w:w="1337" w:type="pct"/>
            <w:shd w:val="clear" w:color="auto" w:fill="auto"/>
          </w:tcPr>
          <w:p w14:paraId="01749531" w14:textId="77777777" w:rsidR="00841A9B" w:rsidRPr="00F22168" w:rsidRDefault="00841A9B" w:rsidP="00841A9B">
            <w:pPr>
              <w:pStyle w:val="TableText"/>
            </w:pPr>
            <w:r w:rsidRPr="00F22168">
              <w:t>Demonstrations</w:t>
            </w:r>
          </w:p>
        </w:tc>
        <w:tc>
          <w:tcPr>
            <w:tcW w:w="733" w:type="pct"/>
            <w:shd w:val="clear" w:color="auto" w:fill="auto"/>
          </w:tcPr>
          <w:p w14:paraId="708C3BEF" w14:textId="77777777" w:rsidR="00841A9B" w:rsidRPr="00F22168" w:rsidRDefault="00841A9B" w:rsidP="00841A9B">
            <w:pPr>
              <w:pStyle w:val="TableText"/>
            </w:pPr>
            <w:r w:rsidRPr="00F22168">
              <w:t>6</w:t>
            </w:r>
          </w:p>
        </w:tc>
        <w:tc>
          <w:tcPr>
            <w:tcW w:w="733" w:type="pct"/>
            <w:shd w:val="clear" w:color="auto" w:fill="auto"/>
          </w:tcPr>
          <w:p w14:paraId="4EE43670" w14:textId="77777777" w:rsidR="00841A9B" w:rsidRPr="00F22168" w:rsidRDefault="00841A9B" w:rsidP="00841A9B">
            <w:pPr>
              <w:pStyle w:val="TableText"/>
            </w:pPr>
            <w:r w:rsidRPr="00F22168">
              <w:t>7</w:t>
            </w:r>
          </w:p>
        </w:tc>
        <w:tc>
          <w:tcPr>
            <w:tcW w:w="734" w:type="pct"/>
            <w:shd w:val="clear" w:color="auto" w:fill="auto"/>
          </w:tcPr>
          <w:p w14:paraId="24093A62" w14:textId="77777777" w:rsidR="00841A9B" w:rsidRPr="00F22168" w:rsidRDefault="00841A9B" w:rsidP="00841A9B">
            <w:pPr>
              <w:pStyle w:val="TableText"/>
            </w:pPr>
            <w:r w:rsidRPr="00F22168">
              <w:t>18</w:t>
            </w:r>
          </w:p>
        </w:tc>
        <w:tc>
          <w:tcPr>
            <w:tcW w:w="733" w:type="pct"/>
            <w:shd w:val="clear" w:color="auto" w:fill="auto"/>
          </w:tcPr>
          <w:p w14:paraId="11119753" w14:textId="77777777" w:rsidR="00841A9B" w:rsidRPr="00F22168" w:rsidRDefault="00841A9B" w:rsidP="00841A9B">
            <w:pPr>
              <w:pStyle w:val="TableText"/>
            </w:pPr>
            <w:r w:rsidRPr="00F22168">
              <w:t>39</w:t>
            </w:r>
          </w:p>
        </w:tc>
        <w:tc>
          <w:tcPr>
            <w:tcW w:w="730" w:type="pct"/>
            <w:shd w:val="clear" w:color="auto" w:fill="auto"/>
          </w:tcPr>
          <w:p w14:paraId="6AE6F6D5" w14:textId="77777777" w:rsidR="00841A9B" w:rsidRPr="00F22168" w:rsidRDefault="00841A9B" w:rsidP="00841A9B">
            <w:pPr>
              <w:pStyle w:val="TableText"/>
            </w:pPr>
            <w:r w:rsidRPr="00F22168">
              <w:t>18</w:t>
            </w:r>
          </w:p>
        </w:tc>
      </w:tr>
      <w:tr w:rsidR="00841A9B" w:rsidRPr="00F22168" w14:paraId="28DA354B" w14:textId="77777777">
        <w:trPr>
          <w:trHeight w:val="439"/>
        </w:trPr>
        <w:tc>
          <w:tcPr>
            <w:tcW w:w="1337" w:type="pct"/>
            <w:shd w:val="clear" w:color="auto" w:fill="auto"/>
          </w:tcPr>
          <w:p w14:paraId="21B351CF" w14:textId="77777777" w:rsidR="00841A9B" w:rsidRPr="00F22168" w:rsidRDefault="00841A9B" w:rsidP="00841A9B">
            <w:pPr>
              <w:pStyle w:val="TableText"/>
            </w:pPr>
            <w:r w:rsidRPr="00F22168">
              <w:t>Questions</w:t>
            </w:r>
          </w:p>
        </w:tc>
        <w:tc>
          <w:tcPr>
            <w:tcW w:w="733" w:type="pct"/>
            <w:shd w:val="clear" w:color="auto" w:fill="auto"/>
          </w:tcPr>
          <w:p w14:paraId="77562765" w14:textId="77777777" w:rsidR="00841A9B" w:rsidRPr="00F22168" w:rsidRDefault="00841A9B" w:rsidP="00841A9B">
            <w:pPr>
              <w:pStyle w:val="TableText"/>
            </w:pPr>
            <w:r w:rsidRPr="00F22168">
              <w:t>4</w:t>
            </w:r>
          </w:p>
        </w:tc>
        <w:tc>
          <w:tcPr>
            <w:tcW w:w="733" w:type="pct"/>
            <w:shd w:val="clear" w:color="auto" w:fill="auto"/>
          </w:tcPr>
          <w:p w14:paraId="3F324C8C" w14:textId="77777777" w:rsidR="00841A9B" w:rsidRPr="00F22168" w:rsidRDefault="00841A9B" w:rsidP="00841A9B">
            <w:pPr>
              <w:pStyle w:val="TableText"/>
            </w:pPr>
            <w:r w:rsidRPr="00F22168">
              <w:t>22</w:t>
            </w:r>
          </w:p>
        </w:tc>
        <w:tc>
          <w:tcPr>
            <w:tcW w:w="734" w:type="pct"/>
            <w:shd w:val="clear" w:color="auto" w:fill="auto"/>
          </w:tcPr>
          <w:p w14:paraId="07AF5E45" w14:textId="77777777" w:rsidR="00841A9B" w:rsidRPr="00F22168" w:rsidRDefault="00841A9B" w:rsidP="00841A9B">
            <w:pPr>
              <w:pStyle w:val="TableText"/>
            </w:pPr>
            <w:r w:rsidRPr="00F22168">
              <w:t>43</w:t>
            </w:r>
          </w:p>
        </w:tc>
        <w:tc>
          <w:tcPr>
            <w:tcW w:w="733" w:type="pct"/>
            <w:shd w:val="clear" w:color="auto" w:fill="auto"/>
          </w:tcPr>
          <w:p w14:paraId="6DC03483" w14:textId="77777777" w:rsidR="00841A9B" w:rsidRPr="00F22168" w:rsidRDefault="00841A9B" w:rsidP="00841A9B">
            <w:pPr>
              <w:pStyle w:val="TableText"/>
            </w:pPr>
            <w:r w:rsidRPr="00F22168">
              <w:t>62</w:t>
            </w:r>
          </w:p>
        </w:tc>
        <w:tc>
          <w:tcPr>
            <w:tcW w:w="730" w:type="pct"/>
            <w:shd w:val="clear" w:color="auto" w:fill="auto"/>
          </w:tcPr>
          <w:p w14:paraId="01AB6F51" w14:textId="77777777" w:rsidR="00841A9B" w:rsidRPr="00F22168" w:rsidRDefault="00841A9B" w:rsidP="00841A9B">
            <w:pPr>
              <w:pStyle w:val="TableText"/>
            </w:pPr>
            <w:r w:rsidRPr="00F22168">
              <w:t>38</w:t>
            </w:r>
          </w:p>
        </w:tc>
      </w:tr>
      <w:tr w:rsidR="00841A9B" w:rsidRPr="00F22168" w14:paraId="5D34CEF1" w14:textId="77777777">
        <w:trPr>
          <w:trHeight w:val="439"/>
        </w:trPr>
        <w:tc>
          <w:tcPr>
            <w:tcW w:w="1337" w:type="pct"/>
            <w:tcBorders>
              <w:bottom w:val="single" w:sz="4" w:space="0" w:color="auto"/>
            </w:tcBorders>
            <w:shd w:val="clear" w:color="auto" w:fill="auto"/>
          </w:tcPr>
          <w:p w14:paraId="563B40EF" w14:textId="77777777" w:rsidR="00841A9B" w:rsidRPr="00F22168" w:rsidRDefault="00841A9B" w:rsidP="00841A9B">
            <w:pPr>
              <w:pStyle w:val="TableText"/>
            </w:pPr>
            <w:r w:rsidRPr="00F22168">
              <w:t>Clickers</w:t>
            </w:r>
          </w:p>
        </w:tc>
        <w:tc>
          <w:tcPr>
            <w:tcW w:w="733" w:type="pct"/>
            <w:tcBorders>
              <w:bottom w:val="single" w:sz="4" w:space="0" w:color="auto"/>
            </w:tcBorders>
            <w:shd w:val="clear" w:color="auto" w:fill="auto"/>
          </w:tcPr>
          <w:p w14:paraId="3A36F4A1" w14:textId="77777777" w:rsidR="00841A9B" w:rsidRPr="00F22168" w:rsidRDefault="00841A9B" w:rsidP="00841A9B">
            <w:pPr>
              <w:pStyle w:val="TableText"/>
            </w:pPr>
            <w:r w:rsidRPr="00F22168">
              <w:t>15</w:t>
            </w:r>
          </w:p>
        </w:tc>
        <w:tc>
          <w:tcPr>
            <w:tcW w:w="733" w:type="pct"/>
            <w:tcBorders>
              <w:bottom w:val="single" w:sz="4" w:space="0" w:color="auto"/>
            </w:tcBorders>
            <w:shd w:val="clear" w:color="auto" w:fill="auto"/>
          </w:tcPr>
          <w:p w14:paraId="69539C3A" w14:textId="77777777" w:rsidR="00841A9B" w:rsidRPr="00F22168" w:rsidRDefault="00841A9B" w:rsidP="00841A9B">
            <w:pPr>
              <w:pStyle w:val="TableText"/>
            </w:pPr>
            <w:r w:rsidRPr="00F22168">
              <w:t>12</w:t>
            </w:r>
          </w:p>
        </w:tc>
        <w:tc>
          <w:tcPr>
            <w:tcW w:w="734" w:type="pct"/>
            <w:tcBorders>
              <w:bottom w:val="single" w:sz="4" w:space="0" w:color="auto"/>
            </w:tcBorders>
            <w:shd w:val="clear" w:color="auto" w:fill="auto"/>
          </w:tcPr>
          <w:p w14:paraId="479D51CF" w14:textId="77777777" w:rsidR="00841A9B" w:rsidRPr="00F22168" w:rsidRDefault="00841A9B" w:rsidP="00841A9B">
            <w:pPr>
              <w:pStyle w:val="TableText"/>
            </w:pPr>
            <w:r w:rsidRPr="00F22168">
              <w:t>9</w:t>
            </w:r>
          </w:p>
        </w:tc>
        <w:tc>
          <w:tcPr>
            <w:tcW w:w="733" w:type="pct"/>
            <w:tcBorders>
              <w:bottom w:val="single" w:sz="4" w:space="0" w:color="auto"/>
            </w:tcBorders>
            <w:shd w:val="clear" w:color="auto" w:fill="auto"/>
          </w:tcPr>
          <w:p w14:paraId="79584BE3" w14:textId="77777777" w:rsidR="00841A9B" w:rsidRPr="00F22168" w:rsidRDefault="00841A9B" w:rsidP="00841A9B">
            <w:pPr>
              <w:pStyle w:val="TableText"/>
            </w:pPr>
            <w:r w:rsidRPr="00F22168">
              <w:t>9</w:t>
            </w:r>
          </w:p>
        </w:tc>
        <w:tc>
          <w:tcPr>
            <w:tcW w:w="730" w:type="pct"/>
            <w:tcBorders>
              <w:bottom w:val="single" w:sz="4" w:space="0" w:color="auto"/>
            </w:tcBorders>
            <w:shd w:val="clear" w:color="auto" w:fill="auto"/>
          </w:tcPr>
          <w:p w14:paraId="4B642D90" w14:textId="77777777" w:rsidR="00841A9B" w:rsidRPr="00F22168" w:rsidRDefault="00841A9B" w:rsidP="00841A9B">
            <w:pPr>
              <w:pStyle w:val="TableText"/>
            </w:pPr>
            <w:r w:rsidRPr="00F22168">
              <w:t>3</w:t>
            </w:r>
          </w:p>
        </w:tc>
      </w:tr>
    </w:tbl>
    <w:p w14:paraId="4DF3E764" w14:textId="77777777" w:rsidR="00841A9B" w:rsidRDefault="00841A9B" w:rsidP="00841A9B">
      <w:pPr>
        <w:pStyle w:val="BodyText"/>
      </w:pPr>
    </w:p>
    <w:p w14:paraId="3D42E159" w14:textId="49CBF124" w:rsidR="00DF03E1" w:rsidRDefault="00DF03E1">
      <w:pPr>
        <w:spacing w:after="0"/>
        <w:rPr>
          <w:rFonts w:ascii="Times New Roman" w:hAnsi="Times New Roman"/>
          <w:lang w:val="x-none" w:eastAsia="x-none"/>
        </w:rPr>
      </w:pPr>
      <w:r>
        <w:br w:type="page"/>
      </w:r>
    </w:p>
    <w:p w14:paraId="2FEEDBCE" w14:textId="77777777" w:rsidR="00DF03E1" w:rsidRDefault="00DF03E1" w:rsidP="00EF574E">
      <w:pPr>
        <w:pStyle w:val="TableHeading"/>
      </w:pPr>
    </w:p>
    <w:p w14:paraId="7304B453" w14:textId="4E153328" w:rsidR="00EF574E" w:rsidRDefault="00EF574E" w:rsidP="00EF574E">
      <w:pPr>
        <w:pStyle w:val="TableHeading"/>
      </w:pPr>
      <w:r w:rsidRPr="00AF25D2">
        <w:t xml:space="preserve">Table </w:t>
      </w:r>
      <w:r>
        <w:t>5</w:t>
      </w:r>
    </w:p>
    <w:p w14:paraId="47967B4B" w14:textId="69E22269" w:rsidR="00EF574E" w:rsidRPr="00EF574E" w:rsidRDefault="00EF574E" w:rsidP="00EF574E">
      <w:pPr>
        <w:pStyle w:val="TableHeading"/>
        <w:rPr>
          <w:i/>
        </w:rPr>
      </w:pPr>
      <w:r>
        <w:rPr>
          <w:i/>
        </w:rPr>
        <w:t>Graphical comparison of instructional technique and its distribution on the mastery scale (maximum value relative to inline values)</w:t>
      </w:r>
    </w:p>
    <w:tbl>
      <w:tblPr>
        <w:tblW w:w="5000" w:type="pct"/>
        <w:jc w:val="center"/>
        <w:tblLook w:val="04A0" w:firstRow="1" w:lastRow="0" w:firstColumn="1" w:lastColumn="0" w:noHBand="0" w:noVBand="1"/>
      </w:tblPr>
      <w:tblGrid>
        <w:gridCol w:w="2385"/>
        <w:gridCol w:w="6975"/>
      </w:tblGrid>
      <w:tr w:rsidR="00D96830" w:rsidRPr="003F733B" w14:paraId="62A9DB09" w14:textId="77777777" w:rsidTr="00EA741A">
        <w:trPr>
          <w:trHeight w:val="441"/>
          <w:jc w:val="center"/>
        </w:trPr>
        <w:tc>
          <w:tcPr>
            <w:tcW w:w="1274" w:type="pct"/>
            <w:tcBorders>
              <w:top w:val="single" w:sz="4" w:space="0" w:color="auto"/>
              <w:left w:val="nil"/>
              <w:bottom w:val="single" w:sz="4" w:space="0" w:color="auto"/>
              <w:right w:val="nil"/>
            </w:tcBorders>
            <w:shd w:val="clear" w:color="auto" w:fill="auto"/>
          </w:tcPr>
          <w:p w14:paraId="144F523D" w14:textId="08727F20" w:rsidR="00D96830" w:rsidRPr="00D96830" w:rsidRDefault="00D96830" w:rsidP="003F733B">
            <w:pPr>
              <w:spacing w:after="0"/>
              <w:jc w:val="center"/>
              <w:rPr>
                <w:rFonts w:ascii="Times New Roman" w:eastAsia="Times New Roman" w:hAnsi="Times New Roman"/>
                <w:color w:val="000000"/>
              </w:rPr>
            </w:pPr>
            <w:r w:rsidRPr="00D96830">
              <w:rPr>
                <w:rFonts w:ascii="Times New Roman" w:hAnsi="Times New Roman"/>
              </w:rPr>
              <w:t>Instructional Technique</w:t>
            </w:r>
          </w:p>
        </w:tc>
        <w:tc>
          <w:tcPr>
            <w:tcW w:w="3726" w:type="pct"/>
            <w:tcBorders>
              <w:top w:val="single" w:sz="4" w:space="0" w:color="auto"/>
              <w:left w:val="nil"/>
              <w:bottom w:val="single" w:sz="4" w:space="0" w:color="auto"/>
              <w:right w:val="nil"/>
            </w:tcBorders>
            <w:shd w:val="clear" w:color="auto" w:fill="auto"/>
            <w:noWrap/>
          </w:tcPr>
          <w:p w14:paraId="4212B4AB" w14:textId="15DEDD0C" w:rsidR="00D96830" w:rsidRPr="00D96830" w:rsidRDefault="00A77F86" w:rsidP="00D96830">
            <w:pPr>
              <w:spacing w:after="0"/>
              <w:jc w:val="center"/>
              <w:rPr>
                <w:rFonts w:ascii="Times New Roman" w:eastAsia="Times New Roman" w:hAnsi="Times New Roman"/>
                <w:noProof/>
                <w:color w:val="000000"/>
              </w:rPr>
            </w:pPr>
            <w:r w:rsidRPr="00D96830">
              <w:rPr>
                <w:rFonts w:ascii="Times New Roman" w:hAnsi="Times New Roman"/>
              </w:rPr>
              <w:t>Distribution across ‘Persistence of Knowledge’ scale</w:t>
            </w:r>
          </w:p>
        </w:tc>
      </w:tr>
      <w:tr w:rsidR="00546FDB" w:rsidRPr="003F733B" w14:paraId="4BF33BCB" w14:textId="77777777" w:rsidTr="00EA741A">
        <w:trPr>
          <w:trHeight w:val="1017"/>
          <w:jc w:val="center"/>
        </w:trPr>
        <w:tc>
          <w:tcPr>
            <w:tcW w:w="1274" w:type="pct"/>
            <w:tcBorders>
              <w:top w:val="single" w:sz="4" w:space="0" w:color="auto"/>
              <w:left w:val="nil"/>
              <w:bottom w:val="nil"/>
              <w:right w:val="nil"/>
            </w:tcBorders>
            <w:shd w:val="clear" w:color="auto" w:fill="auto"/>
            <w:vAlign w:val="center"/>
            <w:hideMark/>
          </w:tcPr>
          <w:p w14:paraId="79128A20"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Lecture</w:t>
            </w:r>
          </w:p>
        </w:tc>
        <w:tc>
          <w:tcPr>
            <w:tcW w:w="3726" w:type="pct"/>
            <w:vMerge w:val="restart"/>
            <w:tcBorders>
              <w:top w:val="single" w:sz="4" w:space="0" w:color="auto"/>
              <w:left w:val="nil"/>
              <w:right w:val="nil"/>
            </w:tcBorders>
            <w:shd w:val="clear" w:color="auto" w:fill="auto"/>
            <w:noWrap/>
            <w:hideMark/>
          </w:tcPr>
          <w:p w14:paraId="5749F971" w14:textId="305BC668" w:rsidR="00546FDB" w:rsidRPr="003F733B" w:rsidRDefault="00546FDB" w:rsidP="00546FDB">
            <w:pPr>
              <w:jc w:val="center"/>
              <w:rPr>
                <w:rFonts w:ascii="Calibri" w:eastAsia="Times New Roman" w:hAnsi="Calibri"/>
                <w:color w:val="000000"/>
              </w:rPr>
            </w:pPr>
            <w:r>
              <w:rPr>
                <w:rFonts w:ascii="Calibri" w:eastAsia="Times New Roman" w:hAnsi="Calibri"/>
                <w:noProof/>
                <w:color w:val="000000"/>
              </w:rPr>
              <w:drawing>
                <wp:inline distT="0" distB="0" distL="0" distR="0" wp14:anchorId="6AFDE2B9" wp14:editId="5CF0411E">
                  <wp:extent cx="3759835" cy="4659648"/>
                  <wp:effectExtent l="0" t="0" r="0" b="0"/>
                  <wp:docPr id="3" name="Picture 3" descr="Macintosh HD:Users:gswan:Documents:Publications:JCHE:tab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swan:Documents:Publications:JCHE:tabl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835" cy="4659648"/>
                          </a:xfrm>
                          <a:prstGeom prst="rect">
                            <a:avLst/>
                          </a:prstGeom>
                          <a:noFill/>
                          <a:ln>
                            <a:noFill/>
                          </a:ln>
                        </pic:spPr>
                      </pic:pic>
                    </a:graphicData>
                  </a:graphic>
                </wp:inline>
              </w:drawing>
            </w:r>
          </w:p>
        </w:tc>
      </w:tr>
      <w:tr w:rsidR="00546FDB" w:rsidRPr="003F733B" w14:paraId="30DACB61" w14:textId="77777777" w:rsidTr="00EA741A">
        <w:trPr>
          <w:trHeight w:val="1077"/>
          <w:jc w:val="center"/>
        </w:trPr>
        <w:tc>
          <w:tcPr>
            <w:tcW w:w="1274" w:type="pct"/>
            <w:tcBorders>
              <w:top w:val="nil"/>
              <w:left w:val="nil"/>
              <w:bottom w:val="nil"/>
              <w:right w:val="nil"/>
            </w:tcBorders>
            <w:shd w:val="clear" w:color="auto" w:fill="auto"/>
            <w:vAlign w:val="center"/>
            <w:hideMark/>
          </w:tcPr>
          <w:p w14:paraId="4D49A91F"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Note Taking</w:t>
            </w:r>
          </w:p>
        </w:tc>
        <w:tc>
          <w:tcPr>
            <w:tcW w:w="3726" w:type="pct"/>
            <w:vMerge/>
            <w:tcBorders>
              <w:left w:val="nil"/>
              <w:right w:val="nil"/>
            </w:tcBorders>
            <w:shd w:val="clear" w:color="auto" w:fill="auto"/>
            <w:noWrap/>
            <w:vAlign w:val="bottom"/>
            <w:hideMark/>
          </w:tcPr>
          <w:p w14:paraId="1DE9E3F4" w14:textId="3E0803F8" w:rsidR="00546FDB" w:rsidRPr="003F733B" w:rsidRDefault="00546FDB" w:rsidP="00D96830">
            <w:pPr>
              <w:jc w:val="center"/>
              <w:rPr>
                <w:rFonts w:ascii="Calibri" w:eastAsia="Times New Roman" w:hAnsi="Calibri"/>
                <w:color w:val="000000"/>
              </w:rPr>
            </w:pPr>
          </w:p>
        </w:tc>
      </w:tr>
      <w:tr w:rsidR="00546FDB" w:rsidRPr="003F733B" w14:paraId="1A0C4F30" w14:textId="77777777" w:rsidTr="00EA741A">
        <w:trPr>
          <w:trHeight w:val="999"/>
          <w:jc w:val="center"/>
        </w:trPr>
        <w:tc>
          <w:tcPr>
            <w:tcW w:w="1274" w:type="pct"/>
            <w:tcBorders>
              <w:top w:val="nil"/>
              <w:left w:val="nil"/>
              <w:bottom w:val="nil"/>
              <w:right w:val="nil"/>
            </w:tcBorders>
            <w:shd w:val="clear" w:color="auto" w:fill="auto"/>
            <w:vAlign w:val="center"/>
            <w:hideMark/>
          </w:tcPr>
          <w:p w14:paraId="54B90381"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Group Work</w:t>
            </w:r>
          </w:p>
        </w:tc>
        <w:tc>
          <w:tcPr>
            <w:tcW w:w="3726" w:type="pct"/>
            <w:vMerge/>
            <w:tcBorders>
              <w:left w:val="nil"/>
              <w:right w:val="nil"/>
            </w:tcBorders>
            <w:shd w:val="clear" w:color="auto" w:fill="auto"/>
            <w:noWrap/>
            <w:vAlign w:val="bottom"/>
            <w:hideMark/>
          </w:tcPr>
          <w:p w14:paraId="58C85FB4" w14:textId="23146814" w:rsidR="00546FDB" w:rsidRPr="003F733B" w:rsidRDefault="00546FDB" w:rsidP="00D96830">
            <w:pPr>
              <w:jc w:val="center"/>
              <w:rPr>
                <w:rFonts w:ascii="Calibri" w:eastAsia="Times New Roman" w:hAnsi="Calibri"/>
                <w:color w:val="000000"/>
              </w:rPr>
            </w:pPr>
          </w:p>
        </w:tc>
      </w:tr>
      <w:tr w:rsidR="00546FDB" w:rsidRPr="003F733B" w14:paraId="1C648FB2" w14:textId="77777777" w:rsidTr="00EA741A">
        <w:trPr>
          <w:trHeight w:val="1077"/>
          <w:jc w:val="center"/>
        </w:trPr>
        <w:tc>
          <w:tcPr>
            <w:tcW w:w="1274" w:type="pct"/>
            <w:tcBorders>
              <w:top w:val="nil"/>
              <w:left w:val="nil"/>
              <w:bottom w:val="nil"/>
              <w:right w:val="nil"/>
            </w:tcBorders>
            <w:shd w:val="clear" w:color="auto" w:fill="auto"/>
            <w:vAlign w:val="center"/>
            <w:hideMark/>
          </w:tcPr>
          <w:p w14:paraId="6546B343"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Peer Discussion</w:t>
            </w:r>
          </w:p>
        </w:tc>
        <w:tc>
          <w:tcPr>
            <w:tcW w:w="3726" w:type="pct"/>
            <w:vMerge/>
            <w:tcBorders>
              <w:left w:val="nil"/>
              <w:right w:val="nil"/>
            </w:tcBorders>
            <w:shd w:val="clear" w:color="auto" w:fill="auto"/>
            <w:noWrap/>
            <w:vAlign w:val="bottom"/>
            <w:hideMark/>
          </w:tcPr>
          <w:p w14:paraId="6457EE79" w14:textId="53FC6829" w:rsidR="00546FDB" w:rsidRPr="003F733B" w:rsidRDefault="00546FDB" w:rsidP="00D96830">
            <w:pPr>
              <w:jc w:val="center"/>
              <w:rPr>
                <w:rFonts w:ascii="Calibri" w:eastAsia="Times New Roman" w:hAnsi="Calibri"/>
                <w:color w:val="000000"/>
              </w:rPr>
            </w:pPr>
          </w:p>
        </w:tc>
      </w:tr>
      <w:tr w:rsidR="00546FDB" w:rsidRPr="003F733B" w14:paraId="5C1FD57D" w14:textId="77777777" w:rsidTr="00EA741A">
        <w:trPr>
          <w:trHeight w:val="990"/>
          <w:jc w:val="center"/>
        </w:trPr>
        <w:tc>
          <w:tcPr>
            <w:tcW w:w="1274" w:type="pct"/>
            <w:tcBorders>
              <w:top w:val="nil"/>
              <w:left w:val="nil"/>
              <w:bottom w:val="nil"/>
              <w:right w:val="nil"/>
            </w:tcBorders>
            <w:shd w:val="clear" w:color="auto" w:fill="auto"/>
            <w:vAlign w:val="center"/>
            <w:hideMark/>
          </w:tcPr>
          <w:p w14:paraId="58E95D2E"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Demonstrations</w:t>
            </w:r>
          </w:p>
        </w:tc>
        <w:tc>
          <w:tcPr>
            <w:tcW w:w="3726" w:type="pct"/>
            <w:vMerge/>
            <w:tcBorders>
              <w:left w:val="nil"/>
              <w:right w:val="nil"/>
            </w:tcBorders>
            <w:shd w:val="clear" w:color="auto" w:fill="auto"/>
            <w:noWrap/>
            <w:vAlign w:val="bottom"/>
            <w:hideMark/>
          </w:tcPr>
          <w:p w14:paraId="0BA88C6C" w14:textId="61F7BFAF" w:rsidR="00546FDB" w:rsidRPr="003F733B" w:rsidRDefault="00546FDB" w:rsidP="00D96830">
            <w:pPr>
              <w:jc w:val="center"/>
              <w:rPr>
                <w:rFonts w:ascii="Calibri" w:eastAsia="Times New Roman" w:hAnsi="Calibri"/>
                <w:color w:val="000000"/>
              </w:rPr>
            </w:pPr>
          </w:p>
        </w:tc>
      </w:tr>
      <w:tr w:rsidR="00546FDB" w:rsidRPr="003F733B" w14:paraId="126B62CD" w14:textId="77777777" w:rsidTr="00EA741A">
        <w:trPr>
          <w:trHeight w:val="1077"/>
          <w:jc w:val="center"/>
        </w:trPr>
        <w:tc>
          <w:tcPr>
            <w:tcW w:w="1274" w:type="pct"/>
            <w:tcBorders>
              <w:top w:val="nil"/>
              <w:left w:val="nil"/>
              <w:bottom w:val="nil"/>
              <w:right w:val="nil"/>
            </w:tcBorders>
            <w:shd w:val="clear" w:color="auto" w:fill="auto"/>
            <w:vAlign w:val="center"/>
            <w:hideMark/>
          </w:tcPr>
          <w:p w14:paraId="4C4DF679"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Questions</w:t>
            </w:r>
          </w:p>
        </w:tc>
        <w:tc>
          <w:tcPr>
            <w:tcW w:w="3726" w:type="pct"/>
            <w:vMerge/>
            <w:tcBorders>
              <w:left w:val="nil"/>
              <w:right w:val="nil"/>
            </w:tcBorders>
            <w:shd w:val="clear" w:color="auto" w:fill="auto"/>
            <w:noWrap/>
            <w:vAlign w:val="bottom"/>
            <w:hideMark/>
          </w:tcPr>
          <w:p w14:paraId="65F56688" w14:textId="7738EE48" w:rsidR="00546FDB" w:rsidRPr="003F733B" w:rsidRDefault="00546FDB" w:rsidP="00D96830">
            <w:pPr>
              <w:jc w:val="center"/>
              <w:rPr>
                <w:rFonts w:ascii="Calibri" w:eastAsia="Times New Roman" w:hAnsi="Calibri"/>
                <w:color w:val="000000"/>
              </w:rPr>
            </w:pPr>
          </w:p>
        </w:tc>
      </w:tr>
      <w:tr w:rsidR="00546FDB" w:rsidRPr="003F733B" w14:paraId="3B12B6F9" w14:textId="77777777" w:rsidTr="00EA741A">
        <w:trPr>
          <w:trHeight w:val="900"/>
          <w:jc w:val="center"/>
        </w:trPr>
        <w:tc>
          <w:tcPr>
            <w:tcW w:w="1274" w:type="pct"/>
            <w:tcBorders>
              <w:top w:val="nil"/>
              <w:left w:val="nil"/>
              <w:bottom w:val="single" w:sz="4" w:space="0" w:color="auto"/>
              <w:right w:val="nil"/>
            </w:tcBorders>
            <w:shd w:val="clear" w:color="auto" w:fill="auto"/>
            <w:vAlign w:val="center"/>
            <w:hideMark/>
          </w:tcPr>
          <w:p w14:paraId="3CB9FB75" w14:textId="77777777" w:rsidR="00546FDB" w:rsidRPr="003F733B" w:rsidRDefault="00546FDB" w:rsidP="003F733B">
            <w:pPr>
              <w:spacing w:after="0"/>
              <w:jc w:val="center"/>
              <w:rPr>
                <w:rFonts w:ascii="Times New Roman" w:eastAsia="Times New Roman" w:hAnsi="Times New Roman"/>
                <w:color w:val="000000"/>
              </w:rPr>
            </w:pPr>
            <w:r w:rsidRPr="003F733B">
              <w:rPr>
                <w:rFonts w:ascii="Times New Roman" w:eastAsia="Times New Roman" w:hAnsi="Times New Roman"/>
                <w:color w:val="000000"/>
              </w:rPr>
              <w:t>Clickers</w:t>
            </w:r>
          </w:p>
        </w:tc>
        <w:tc>
          <w:tcPr>
            <w:tcW w:w="3726" w:type="pct"/>
            <w:vMerge/>
            <w:tcBorders>
              <w:left w:val="nil"/>
              <w:bottom w:val="single" w:sz="4" w:space="0" w:color="auto"/>
              <w:right w:val="nil"/>
            </w:tcBorders>
            <w:shd w:val="clear" w:color="auto" w:fill="auto"/>
            <w:noWrap/>
            <w:vAlign w:val="bottom"/>
            <w:hideMark/>
          </w:tcPr>
          <w:p w14:paraId="45F09F0E" w14:textId="364FAB2A" w:rsidR="00546FDB" w:rsidRPr="003F733B" w:rsidRDefault="00546FDB" w:rsidP="00D96830">
            <w:pPr>
              <w:spacing w:after="0"/>
              <w:jc w:val="center"/>
              <w:rPr>
                <w:rFonts w:ascii="Calibri" w:eastAsia="Times New Roman" w:hAnsi="Calibri"/>
                <w:color w:val="000000"/>
              </w:rPr>
            </w:pPr>
          </w:p>
        </w:tc>
      </w:tr>
    </w:tbl>
    <w:p w14:paraId="114B1506" w14:textId="77777777" w:rsidR="0007633C" w:rsidRDefault="0007633C" w:rsidP="00EF574E">
      <w:pPr>
        <w:pStyle w:val="BodyText"/>
        <w:ind w:firstLine="0"/>
      </w:pPr>
    </w:p>
    <w:p w14:paraId="2100BA20" w14:textId="6E72A01A" w:rsidR="00841A9B" w:rsidRDefault="00841A9B" w:rsidP="00841A9B">
      <w:pPr>
        <w:pStyle w:val="BodyText"/>
      </w:pPr>
      <w:r>
        <w:t>Next, we take the total number of techniques employed by an instructor (excluding lecture, note taking and clickers) and look at the distribution across the knowledge scale (see Table</w:t>
      </w:r>
      <w:r w:rsidR="004E26EB">
        <w:t>s</w:t>
      </w:r>
      <w:r>
        <w:t xml:space="preserve"> </w:t>
      </w:r>
      <w:r w:rsidR="00693EC2">
        <w:t>5</w:t>
      </w:r>
      <w:r w:rsidR="004E26EB">
        <w:t xml:space="preserve"> and 6</w:t>
      </w:r>
      <w:r>
        <w:t xml:space="preserve">).  The distributions become more heavily skewed as the number of techniques employed increases.  In the </w:t>
      </w:r>
      <w:r w:rsidRPr="0045590E">
        <w:rPr>
          <w:i/>
        </w:rPr>
        <w:t>Handbook of Formative Assessment</w:t>
      </w:r>
      <w:r>
        <w:t xml:space="preserve"> (2010) </w:t>
      </w:r>
      <w:proofErr w:type="spellStart"/>
      <w:r>
        <w:t>Guskey</w:t>
      </w:r>
      <w:proofErr w:type="spellEnd"/>
      <w:r>
        <w:t xml:space="preserve"> notes “to attain </w:t>
      </w:r>
      <w:r>
        <w:lastRenderedPageBreak/>
        <w:t xml:space="preserve">better results and </w:t>
      </w:r>
      <w:r w:rsidRPr="00A84994">
        <w:rPr>
          <w:i/>
        </w:rPr>
        <w:t>reduce</w:t>
      </w:r>
      <w:r>
        <w:t xml:space="preserve"> variation in student achievement, Bloom reasoned that teachers would have to </w:t>
      </w:r>
      <w:r w:rsidRPr="00A84994">
        <w:rPr>
          <w:i/>
        </w:rPr>
        <w:t>increase</w:t>
      </w:r>
      <w:r>
        <w:t xml:space="preserve"> variation in their teaching” (p. 109).  The results of this survey dovetail with Bloom’s suggestion in that we see that mixing in a variety of well-executed techniques resulted in a more robust learning experience.  Executed well these practices give students opportunities to ferret out misconceptions and correct them.  Without meaningful interaction between students and instructors, there is limited opportunity to engage in error correction.</w:t>
      </w:r>
      <w:r w:rsidR="004E26EB">
        <w:t xml:space="preserve"> As with Tables 4 and 5, the Table 6 presents the data n</w:t>
      </w:r>
      <w:r w:rsidR="00A77F86">
        <w:t>u</w:t>
      </w:r>
      <w:r w:rsidR="004E26EB">
        <w:t>m</w:t>
      </w:r>
      <w:r w:rsidR="00A77F86">
        <w:t>e</w:t>
      </w:r>
      <w:r w:rsidR="004E26EB">
        <w:t>rically while Table 7 shows the data for each row in bar chart format. The maximum values for each row is relative to the data in that row. The minimum value for each row is zero. This was done to illustrate the overall trends at each level.</w:t>
      </w:r>
    </w:p>
    <w:p w14:paraId="7AAC6295" w14:textId="77777777" w:rsidR="004E26EB" w:rsidRPr="00803378" w:rsidRDefault="004E26EB" w:rsidP="004E26EB">
      <w:pPr>
        <w:pStyle w:val="BodyText"/>
        <w:ind w:firstLine="0"/>
        <w:rPr>
          <w:b/>
        </w:rPr>
      </w:pPr>
    </w:p>
    <w:p w14:paraId="33F12C73" w14:textId="3FE7EA54" w:rsidR="00841A9B" w:rsidRDefault="00841A9B" w:rsidP="00841A9B">
      <w:pPr>
        <w:pStyle w:val="TableHeading"/>
      </w:pPr>
      <w:r w:rsidRPr="00AF25D2">
        <w:t xml:space="preserve">Table </w:t>
      </w:r>
      <w:r w:rsidR="00EF574E">
        <w:t>6</w:t>
      </w:r>
    </w:p>
    <w:p w14:paraId="464314EA" w14:textId="77777777" w:rsidR="00841A9B" w:rsidRPr="00BA245F" w:rsidRDefault="00841A9B" w:rsidP="00841A9B">
      <w:pPr>
        <w:pStyle w:val="TableHeading"/>
        <w:rPr>
          <w:i/>
        </w:rPr>
      </w:pPr>
      <w:r>
        <w:rPr>
          <w:i/>
        </w:rPr>
        <w:t>Comparison of the number of instructional techniques used and distribution on the mastery scale</w:t>
      </w:r>
    </w:p>
    <w:tbl>
      <w:tblPr>
        <w:tblW w:w="5000" w:type="pct"/>
        <w:tblLook w:val="04A0" w:firstRow="1" w:lastRow="0" w:firstColumn="1" w:lastColumn="0" w:noHBand="0" w:noVBand="1"/>
      </w:tblPr>
      <w:tblGrid>
        <w:gridCol w:w="2657"/>
        <w:gridCol w:w="1341"/>
        <w:gridCol w:w="1340"/>
        <w:gridCol w:w="1340"/>
        <w:gridCol w:w="1340"/>
        <w:gridCol w:w="1342"/>
      </w:tblGrid>
      <w:tr w:rsidR="00841A9B" w:rsidRPr="004521A5" w14:paraId="1997CC9C" w14:textId="77777777" w:rsidTr="00D96830">
        <w:trPr>
          <w:trHeight w:val="439"/>
        </w:trPr>
        <w:tc>
          <w:tcPr>
            <w:tcW w:w="1419" w:type="pct"/>
            <w:tcBorders>
              <w:top w:val="single" w:sz="4" w:space="0" w:color="auto"/>
            </w:tcBorders>
            <w:shd w:val="clear" w:color="auto" w:fill="auto"/>
          </w:tcPr>
          <w:p w14:paraId="16862662" w14:textId="6F573A7B" w:rsidR="00841A9B" w:rsidRPr="009A6A05" w:rsidRDefault="00841A9B" w:rsidP="00841A9B">
            <w:pPr>
              <w:pStyle w:val="TableText"/>
            </w:pPr>
          </w:p>
        </w:tc>
        <w:tc>
          <w:tcPr>
            <w:tcW w:w="3581" w:type="pct"/>
            <w:gridSpan w:val="5"/>
            <w:tcBorders>
              <w:top w:val="single" w:sz="4" w:space="0" w:color="auto"/>
            </w:tcBorders>
            <w:shd w:val="clear" w:color="auto" w:fill="auto"/>
          </w:tcPr>
          <w:p w14:paraId="337B3B1E" w14:textId="77777777" w:rsidR="00841A9B" w:rsidRPr="009A6A05" w:rsidRDefault="00841A9B" w:rsidP="00841A9B">
            <w:pPr>
              <w:pStyle w:val="TableText"/>
            </w:pPr>
            <w:r>
              <w:t>Persistence of Knowledge Scale</w:t>
            </w:r>
          </w:p>
        </w:tc>
      </w:tr>
      <w:tr w:rsidR="00D96830" w:rsidRPr="004521A5" w14:paraId="09C379A7" w14:textId="77777777" w:rsidTr="00D96830">
        <w:trPr>
          <w:trHeight w:val="439"/>
        </w:trPr>
        <w:tc>
          <w:tcPr>
            <w:tcW w:w="1419" w:type="pct"/>
            <w:tcBorders>
              <w:bottom w:val="single" w:sz="4" w:space="0" w:color="auto"/>
            </w:tcBorders>
            <w:shd w:val="clear" w:color="auto" w:fill="auto"/>
          </w:tcPr>
          <w:p w14:paraId="6F9146EC" w14:textId="006B7367" w:rsidR="00841A9B" w:rsidRPr="009A6A05" w:rsidRDefault="00A77F86" w:rsidP="00841A9B">
            <w:pPr>
              <w:pStyle w:val="TableText"/>
            </w:pPr>
            <w:r>
              <w:t xml:space="preserve"># </w:t>
            </w:r>
            <w:proofErr w:type="gramStart"/>
            <w:r>
              <w:t>of</w:t>
            </w:r>
            <w:proofErr w:type="gramEnd"/>
            <w:r>
              <w:t xml:space="preserve"> Techniques Used</w:t>
            </w:r>
          </w:p>
        </w:tc>
        <w:tc>
          <w:tcPr>
            <w:tcW w:w="716" w:type="pct"/>
            <w:tcBorders>
              <w:bottom w:val="single" w:sz="4" w:space="0" w:color="auto"/>
            </w:tcBorders>
            <w:shd w:val="clear" w:color="auto" w:fill="auto"/>
          </w:tcPr>
          <w:p w14:paraId="335ACC2A" w14:textId="77777777" w:rsidR="00841A9B" w:rsidRPr="009A6A05" w:rsidRDefault="00841A9B" w:rsidP="00841A9B">
            <w:pPr>
              <w:pStyle w:val="TableText"/>
            </w:pPr>
            <w:r>
              <w:t>L=</w:t>
            </w:r>
            <w:r w:rsidRPr="009A6A05">
              <w:t>1</w:t>
            </w:r>
          </w:p>
        </w:tc>
        <w:tc>
          <w:tcPr>
            <w:tcW w:w="716" w:type="pct"/>
            <w:tcBorders>
              <w:bottom w:val="single" w:sz="4" w:space="0" w:color="auto"/>
            </w:tcBorders>
            <w:shd w:val="clear" w:color="auto" w:fill="auto"/>
          </w:tcPr>
          <w:p w14:paraId="3D57279F" w14:textId="77777777" w:rsidR="00841A9B" w:rsidRPr="009A6A05" w:rsidRDefault="00841A9B" w:rsidP="00841A9B">
            <w:pPr>
              <w:pStyle w:val="TableText"/>
            </w:pPr>
            <w:r>
              <w:t>L=</w:t>
            </w:r>
            <w:r w:rsidRPr="009A6A05">
              <w:t>2</w:t>
            </w:r>
          </w:p>
        </w:tc>
        <w:tc>
          <w:tcPr>
            <w:tcW w:w="716" w:type="pct"/>
            <w:tcBorders>
              <w:bottom w:val="single" w:sz="4" w:space="0" w:color="auto"/>
            </w:tcBorders>
            <w:shd w:val="clear" w:color="auto" w:fill="auto"/>
          </w:tcPr>
          <w:p w14:paraId="5397D9B9" w14:textId="77777777" w:rsidR="00841A9B" w:rsidRPr="009A6A05" w:rsidRDefault="00841A9B" w:rsidP="00841A9B">
            <w:pPr>
              <w:pStyle w:val="TableText"/>
            </w:pPr>
            <w:r>
              <w:t>L=</w:t>
            </w:r>
            <w:r w:rsidRPr="009A6A05">
              <w:t>3</w:t>
            </w:r>
          </w:p>
        </w:tc>
        <w:tc>
          <w:tcPr>
            <w:tcW w:w="716" w:type="pct"/>
            <w:tcBorders>
              <w:bottom w:val="single" w:sz="4" w:space="0" w:color="auto"/>
            </w:tcBorders>
            <w:shd w:val="clear" w:color="auto" w:fill="auto"/>
          </w:tcPr>
          <w:p w14:paraId="03887BAE" w14:textId="77777777" w:rsidR="00841A9B" w:rsidRPr="009A6A05" w:rsidRDefault="00841A9B" w:rsidP="00841A9B">
            <w:pPr>
              <w:pStyle w:val="TableText"/>
            </w:pPr>
            <w:r>
              <w:t>L=</w:t>
            </w:r>
            <w:r w:rsidRPr="009A6A05">
              <w:t>4</w:t>
            </w:r>
          </w:p>
        </w:tc>
        <w:tc>
          <w:tcPr>
            <w:tcW w:w="716" w:type="pct"/>
            <w:tcBorders>
              <w:bottom w:val="single" w:sz="4" w:space="0" w:color="auto"/>
            </w:tcBorders>
            <w:shd w:val="clear" w:color="auto" w:fill="auto"/>
          </w:tcPr>
          <w:p w14:paraId="25FD8426" w14:textId="77777777" w:rsidR="00841A9B" w:rsidRPr="009A6A05" w:rsidRDefault="00841A9B" w:rsidP="00841A9B">
            <w:pPr>
              <w:pStyle w:val="TableText"/>
            </w:pPr>
            <w:r>
              <w:t>L=</w:t>
            </w:r>
            <w:r w:rsidRPr="009A6A05">
              <w:t>5</w:t>
            </w:r>
          </w:p>
        </w:tc>
      </w:tr>
      <w:tr w:rsidR="00D96830" w:rsidRPr="004521A5" w14:paraId="45FD46D6" w14:textId="77777777" w:rsidTr="00D96830">
        <w:trPr>
          <w:trHeight w:val="439"/>
        </w:trPr>
        <w:tc>
          <w:tcPr>
            <w:tcW w:w="1419" w:type="pct"/>
            <w:tcBorders>
              <w:top w:val="single" w:sz="4" w:space="0" w:color="auto"/>
            </w:tcBorders>
            <w:shd w:val="clear" w:color="auto" w:fill="auto"/>
          </w:tcPr>
          <w:p w14:paraId="2B1EB8F6" w14:textId="77777777" w:rsidR="00841A9B" w:rsidRPr="009A6A05" w:rsidRDefault="00841A9B" w:rsidP="00841A9B">
            <w:pPr>
              <w:pStyle w:val="TableText"/>
            </w:pPr>
            <w:r>
              <w:t>n=0</w:t>
            </w:r>
          </w:p>
        </w:tc>
        <w:tc>
          <w:tcPr>
            <w:tcW w:w="716" w:type="pct"/>
            <w:tcBorders>
              <w:top w:val="single" w:sz="4" w:space="0" w:color="auto"/>
            </w:tcBorders>
            <w:shd w:val="clear" w:color="auto" w:fill="auto"/>
            <w:vAlign w:val="bottom"/>
          </w:tcPr>
          <w:p w14:paraId="54AA7F2C" w14:textId="77777777" w:rsidR="00841A9B" w:rsidRDefault="00841A9B" w:rsidP="00841A9B">
            <w:pPr>
              <w:pStyle w:val="TableText"/>
            </w:pPr>
            <w:r>
              <w:t>45</w:t>
            </w:r>
          </w:p>
        </w:tc>
        <w:tc>
          <w:tcPr>
            <w:tcW w:w="716" w:type="pct"/>
            <w:tcBorders>
              <w:top w:val="single" w:sz="4" w:space="0" w:color="auto"/>
            </w:tcBorders>
            <w:shd w:val="clear" w:color="auto" w:fill="auto"/>
            <w:vAlign w:val="bottom"/>
          </w:tcPr>
          <w:p w14:paraId="2BDD919A" w14:textId="77777777" w:rsidR="00841A9B" w:rsidRDefault="00841A9B" w:rsidP="00841A9B">
            <w:pPr>
              <w:pStyle w:val="TableText"/>
            </w:pPr>
            <w:r>
              <w:t>87</w:t>
            </w:r>
          </w:p>
        </w:tc>
        <w:tc>
          <w:tcPr>
            <w:tcW w:w="716" w:type="pct"/>
            <w:tcBorders>
              <w:top w:val="single" w:sz="4" w:space="0" w:color="auto"/>
            </w:tcBorders>
            <w:shd w:val="clear" w:color="auto" w:fill="auto"/>
            <w:vAlign w:val="bottom"/>
          </w:tcPr>
          <w:p w14:paraId="6E2799E2" w14:textId="77777777" w:rsidR="00841A9B" w:rsidRDefault="00841A9B" w:rsidP="00841A9B">
            <w:pPr>
              <w:pStyle w:val="TableText"/>
            </w:pPr>
            <w:r>
              <w:t>20</w:t>
            </w:r>
          </w:p>
        </w:tc>
        <w:tc>
          <w:tcPr>
            <w:tcW w:w="716" w:type="pct"/>
            <w:tcBorders>
              <w:top w:val="single" w:sz="4" w:space="0" w:color="auto"/>
            </w:tcBorders>
            <w:shd w:val="clear" w:color="auto" w:fill="auto"/>
            <w:vAlign w:val="bottom"/>
          </w:tcPr>
          <w:p w14:paraId="0047643F" w14:textId="77777777" w:rsidR="00841A9B" w:rsidRDefault="00841A9B" w:rsidP="00841A9B">
            <w:pPr>
              <w:pStyle w:val="TableText"/>
            </w:pPr>
            <w:r>
              <w:t>33</w:t>
            </w:r>
          </w:p>
        </w:tc>
        <w:tc>
          <w:tcPr>
            <w:tcW w:w="716" w:type="pct"/>
            <w:tcBorders>
              <w:top w:val="single" w:sz="4" w:space="0" w:color="auto"/>
            </w:tcBorders>
            <w:shd w:val="clear" w:color="auto" w:fill="auto"/>
            <w:vAlign w:val="bottom"/>
          </w:tcPr>
          <w:p w14:paraId="4DDD8327" w14:textId="77777777" w:rsidR="00841A9B" w:rsidRDefault="00841A9B" w:rsidP="00841A9B">
            <w:pPr>
              <w:pStyle w:val="TableText"/>
            </w:pPr>
            <w:r>
              <w:t>2</w:t>
            </w:r>
          </w:p>
        </w:tc>
      </w:tr>
      <w:tr w:rsidR="00D96830" w:rsidRPr="004521A5" w14:paraId="63084F74" w14:textId="77777777" w:rsidTr="00D96830">
        <w:trPr>
          <w:trHeight w:val="439"/>
        </w:trPr>
        <w:tc>
          <w:tcPr>
            <w:tcW w:w="1419" w:type="pct"/>
            <w:shd w:val="clear" w:color="auto" w:fill="auto"/>
          </w:tcPr>
          <w:p w14:paraId="2093558A" w14:textId="77777777" w:rsidR="00841A9B" w:rsidRPr="009A6A05" w:rsidRDefault="00841A9B" w:rsidP="00841A9B">
            <w:pPr>
              <w:pStyle w:val="TableText"/>
            </w:pPr>
            <w:r>
              <w:t>n=1</w:t>
            </w:r>
          </w:p>
        </w:tc>
        <w:tc>
          <w:tcPr>
            <w:tcW w:w="716" w:type="pct"/>
            <w:shd w:val="clear" w:color="auto" w:fill="auto"/>
            <w:vAlign w:val="bottom"/>
          </w:tcPr>
          <w:p w14:paraId="4F4541C9" w14:textId="77777777" w:rsidR="00841A9B" w:rsidRDefault="00841A9B" w:rsidP="00841A9B">
            <w:pPr>
              <w:pStyle w:val="TableText"/>
            </w:pPr>
            <w:r>
              <w:t>17</w:t>
            </w:r>
          </w:p>
        </w:tc>
        <w:tc>
          <w:tcPr>
            <w:tcW w:w="716" w:type="pct"/>
            <w:shd w:val="clear" w:color="auto" w:fill="auto"/>
            <w:vAlign w:val="bottom"/>
          </w:tcPr>
          <w:p w14:paraId="2EF98DC5" w14:textId="77777777" w:rsidR="00841A9B" w:rsidRDefault="00841A9B" w:rsidP="00841A9B">
            <w:pPr>
              <w:pStyle w:val="TableText"/>
            </w:pPr>
            <w:r>
              <w:t>42</w:t>
            </w:r>
          </w:p>
        </w:tc>
        <w:tc>
          <w:tcPr>
            <w:tcW w:w="716" w:type="pct"/>
            <w:shd w:val="clear" w:color="auto" w:fill="auto"/>
            <w:vAlign w:val="bottom"/>
          </w:tcPr>
          <w:p w14:paraId="36C07890" w14:textId="77777777" w:rsidR="00841A9B" w:rsidRDefault="00841A9B" w:rsidP="00841A9B">
            <w:pPr>
              <w:pStyle w:val="TableText"/>
            </w:pPr>
            <w:r>
              <w:t>43</w:t>
            </w:r>
          </w:p>
        </w:tc>
        <w:tc>
          <w:tcPr>
            <w:tcW w:w="716" w:type="pct"/>
            <w:shd w:val="clear" w:color="auto" w:fill="auto"/>
            <w:vAlign w:val="bottom"/>
          </w:tcPr>
          <w:p w14:paraId="10DDF66B" w14:textId="77777777" w:rsidR="00841A9B" w:rsidRDefault="00841A9B" w:rsidP="00841A9B">
            <w:pPr>
              <w:pStyle w:val="TableText"/>
            </w:pPr>
            <w:r>
              <w:t>48</w:t>
            </w:r>
          </w:p>
        </w:tc>
        <w:tc>
          <w:tcPr>
            <w:tcW w:w="716" w:type="pct"/>
            <w:shd w:val="clear" w:color="auto" w:fill="auto"/>
            <w:vAlign w:val="bottom"/>
          </w:tcPr>
          <w:p w14:paraId="2E433300" w14:textId="77777777" w:rsidR="00841A9B" w:rsidRDefault="00841A9B" w:rsidP="00841A9B">
            <w:pPr>
              <w:pStyle w:val="TableText"/>
            </w:pPr>
            <w:r>
              <w:t>20</w:t>
            </w:r>
          </w:p>
        </w:tc>
      </w:tr>
      <w:tr w:rsidR="00D96830" w:rsidRPr="004521A5" w14:paraId="63CDC1F5" w14:textId="77777777" w:rsidTr="00D96830">
        <w:trPr>
          <w:trHeight w:val="439"/>
        </w:trPr>
        <w:tc>
          <w:tcPr>
            <w:tcW w:w="1419" w:type="pct"/>
            <w:shd w:val="clear" w:color="auto" w:fill="auto"/>
          </w:tcPr>
          <w:p w14:paraId="50DD07C8" w14:textId="77777777" w:rsidR="00841A9B" w:rsidRDefault="00841A9B" w:rsidP="00841A9B">
            <w:pPr>
              <w:pStyle w:val="TableText"/>
            </w:pPr>
            <w:r>
              <w:t>n=2</w:t>
            </w:r>
          </w:p>
        </w:tc>
        <w:tc>
          <w:tcPr>
            <w:tcW w:w="716" w:type="pct"/>
            <w:shd w:val="clear" w:color="auto" w:fill="auto"/>
            <w:vAlign w:val="bottom"/>
          </w:tcPr>
          <w:p w14:paraId="4A805A0C" w14:textId="77777777" w:rsidR="00841A9B" w:rsidRDefault="00841A9B" w:rsidP="00841A9B">
            <w:pPr>
              <w:pStyle w:val="TableText"/>
            </w:pPr>
            <w:r>
              <w:t>5</w:t>
            </w:r>
          </w:p>
        </w:tc>
        <w:tc>
          <w:tcPr>
            <w:tcW w:w="716" w:type="pct"/>
            <w:shd w:val="clear" w:color="auto" w:fill="auto"/>
            <w:vAlign w:val="bottom"/>
          </w:tcPr>
          <w:p w14:paraId="390B68C2" w14:textId="77777777" w:rsidR="00841A9B" w:rsidRDefault="00841A9B" w:rsidP="00841A9B">
            <w:pPr>
              <w:pStyle w:val="TableText"/>
            </w:pPr>
            <w:r>
              <w:t>13</w:t>
            </w:r>
          </w:p>
        </w:tc>
        <w:tc>
          <w:tcPr>
            <w:tcW w:w="716" w:type="pct"/>
            <w:shd w:val="clear" w:color="auto" w:fill="auto"/>
            <w:vAlign w:val="bottom"/>
          </w:tcPr>
          <w:p w14:paraId="05BEB19F" w14:textId="77777777" w:rsidR="00841A9B" w:rsidRDefault="00841A9B" w:rsidP="00841A9B">
            <w:pPr>
              <w:pStyle w:val="TableText"/>
            </w:pPr>
            <w:r>
              <w:t>41</w:t>
            </w:r>
          </w:p>
        </w:tc>
        <w:tc>
          <w:tcPr>
            <w:tcW w:w="716" w:type="pct"/>
            <w:shd w:val="clear" w:color="auto" w:fill="auto"/>
            <w:vAlign w:val="bottom"/>
          </w:tcPr>
          <w:p w14:paraId="7FB0DDC0" w14:textId="77777777" w:rsidR="00841A9B" w:rsidRDefault="00841A9B" w:rsidP="00841A9B">
            <w:pPr>
              <w:pStyle w:val="TableText"/>
            </w:pPr>
            <w:r>
              <w:t>46</w:t>
            </w:r>
          </w:p>
        </w:tc>
        <w:tc>
          <w:tcPr>
            <w:tcW w:w="716" w:type="pct"/>
            <w:shd w:val="clear" w:color="auto" w:fill="auto"/>
            <w:vAlign w:val="bottom"/>
          </w:tcPr>
          <w:p w14:paraId="3F380968" w14:textId="77777777" w:rsidR="00841A9B" w:rsidRDefault="00841A9B" w:rsidP="00841A9B">
            <w:pPr>
              <w:pStyle w:val="TableText"/>
            </w:pPr>
            <w:r>
              <w:t>13</w:t>
            </w:r>
          </w:p>
        </w:tc>
      </w:tr>
      <w:tr w:rsidR="00D96830" w:rsidRPr="004521A5" w14:paraId="7BF34BC2" w14:textId="77777777" w:rsidTr="00D96830">
        <w:trPr>
          <w:trHeight w:val="439"/>
        </w:trPr>
        <w:tc>
          <w:tcPr>
            <w:tcW w:w="1419" w:type="pct"/>
            <w:shd w:val="clear" w:color="auto" w:fill="auto"/>
          </w:tcPr>
          <w:p w14:paraId="6796B269" w14:textId="77777777" w:rsidR="00841A9B" w:rsidRPr="009A6A05" w:rsidRDefault="00841A9B" w:rsidP="00841A9B">
            <w:pPr>
              <w:pStyle w:val="TableText"/>
            </w:pPr>
            <w:r>
              <w:t>n=</w:t>
            </w:r>
            <w:r w:rsidRPr="009A6A05">
              <w:t>3</w:t>
            </w:r>
          </w:p>
        </w:tc>
        <w:tc>
          <w:tcPr>
            <w:tcW w:w="716" w:type="pct"/>
            <w:shd w:val="clear" w:color="auto" w:fill="auto"/>
            <w:vAlign w:val="bottom"/>
          </w:tcPr>
          <w:p w14:paraId="1B476141" w14:textId="77777777" w:rsidR="00841A9B" w:rsidRDefault="00841A9B" w:rsidP="00841A9B">
            <w:pPr>
              <w:pStyle w:val="TableText"/>
            </w:pPr>
            <w:r>
              <w:t>1</w:t>
            </w:r>
          </w:p>
        </w:tc>
        <w:tc>
          <w:tcPr>
            <w:tcW w:w="716" w:type="pct"/>
            <w:shd w:val="clear" w:color="auto" w:fill="auto"/>
            <w:vAlign w:val="bottom"/>
          </w:tcPr>
          <w:p w14:paraId="1C6ABECD" w14:textId="77777777" w:rsidR="00841A9B" w:rsidRDefault="00841A9B" w:rsidP="00841A9B">
            <w:pPr>
              <w:pStyle w:val="TableText"/>
            </w:pPr>
            <w:r>
              <w:t>5</w:t>
            </w:r>
          </w:p>
        </w:tc>
        <w:tc>
          <w:tcPr>
            <w:tcW w:w="716" w:type="pct"/>
            <w:shd w:val="clear" w:color="auto" w:fill="auto"/>
            <w:vAlign w:val="bottom"/>
          </w:tcPr>
          <w:p w14:paraId="46267D30" w14:textId="77777777" w:rsidR="00841A9B" w:rsidRDefault="00841A9B" w:rsidP="00841A9B">
            <w:pPr>
              <w:pStyle w:val="TableText"/>
            </w:pPr>
            <w:r>
              <w:t>8</w:t>
            </w:r>
          </w:p>
        </w:tc>
        <w:tc>
          <w:tcPr>
            <w:tcW w:w="716" w:type="pct"/>
            <w:shd w:val="clear" w:color="auto" w:fill="auto"/>
            <w:vAlign w:val="bottom"/>
          </w:tcPr>
          <w:p w14:paraId="4D9D758D" w14:textId="77777777" w:rsidR="00841A9B" w:rsidRDefault="00841A9B" w:rsidP="00841A9B">
            <w:pPr>
              <w:pStyle w:val="TableText"/>
            </w:pPr>
            <w:r>
              <w:t>22</w:t>
            </w:r>
          </w:p>
        </w:tc>
        <w:tc>
          <w:tcPr>
            <w:tcW w:w="716" w:type="pct"/>
            <w:shd w:val="clear" w:color="auto" w:fill="auto"/>
            <w:vAlign w:val="bottom"/>
          </w:tcPr>
          <w:p w14:paraId="2CB37745" w14:textId="77777777" w:rsidR="00841A9B" w:rsidRDefault="00841A9B" w:rsidP="00841A9B">
            <w:pPr>
              <w:pStyle w:val="TableText"/>
            </w:pPr>
            <w:r>
              <w:t>14</w:t>
            </w:r>
          </w:p>
        </w:tc>
      </w:tr>
      <w:tr w:rsidR="00D96830" w:rsidRPr="004521A5" w14:paraId="3E561A55" w14:textId="77777777" w:rsidTr="00D96830">
        <w:trPr>
          <w:trHeight w:val="439"/>
        </w:trPr>
        <w:tc>
          <w:tcPr>
            <w:tcW w:w="1419" w:type="pct"/>
            <w:shd w:val="clear" w:color="auto" w:fill="auto"/>
          </w:tcPr>
          <w:p w14:paraId="3FAE4C6F" w14:textId="77777777" w:rsidR="00841A9B" w:rsidRPr="009A6A05" w:rsidRDefault="00841A9B" w:rsidP="00841A9B">
            <w:pPr>
              <w:pStyle w:val="TableText"/>
            </w:pPr>
            <w:r>
              <w:t>n=</w:t>
            </w:r>
            <w:r w:rsidRPr="009A6A05">
              <w:t>4</w:t>
            </w:r>
          </w:p>
        </w:tc>
        <w:tc>
          <w:tcPr>
            <w:tcW w:w="716" w:type="pct"/>
            <w:shd w:val="clear" w:color="auto" w:fill="auto"/>
            <w:vAlign w:val="bottom"/>
          </w:tcPr>
          <w:p w14:paraId="1CB71B03" w14:textId="77777777" w:rsidR="00841A9B" w:rsidRDefault="00841A9B" w:rsidP="00841A9B">
            <w:pPr>
              <w:pStyle w:val="TableText"/>
            </w:pPr>
            <w:r>
              <w:t>0</w:t>
            </w:r>
          </w:p>
        </w:tc>
        <w:tc>
          <w:tcPr>
            <w:tcW w:w="716" w:type="pct"/>
            <w:shd w:val="clear" w:color="auto" w:fill="auto"/>
            <w:vAlign w:val="bottom"/>
          </w:tcPr>
          <w:p w14:paraId="37941004" w14:textId="77777777" w:rsidR="00841A9B" w:rsidRDefault="00841A9B" w:rsidP="00841A9B">
            <w:pPr>
              <w:pStyle w:val="TableText"/>
            </w:pPr>
            <w:r>
              <w:t>2</w:t>
            </w:r>
          </w:p>
        </w:tc>
        <w:tc>
          <w:tcPr>
            <w:tcW w:w="716" w:type="pct"/>
            <w:shd w:val="clear" w:color="auto" w:fill="auto"/>
            <w:vAlign w:val="bottom"/>
          </w:tcPr>
          <w:p w14:paraId="46373FB2" w14:textId="77777777" w:rsidR="00841A9B" w:rsidRDefault="00841A9B" w:rsidP="00841A9B">
            <w:pPr>
              <w:pStyle w:val="TableText"/>
            </w:pPr>
            <w:r>
              <w:t>3</w:t>
            </w:r>
          </w:p>
        </w:tc>
        <w:tc>
          <w:tcPr>
            <w:tcW w:w="716" w:type="pct"/>
            <w:shd w:val="clear" w:color="auto" w:fill="auto"/>
            <w:vAlign w:val="bottom"/>
          </w:tcPr>
          <w:p w14:paraId="50936C20" w14:textId="77777777" w:rsidR="00841A9B" w:rsidRDefault="00841A9B" w:rsidP="00841A9B">
            <w:pPr>
              <w:pStyle w:val="TableText"/>
            </w:pPr>
            <w:r>
              <w:t>5</w:t>
            </w:r>
          </w:p>
        </w:tc>
        <w:tc>
          <w:tcPr>
            <w:tcW w:w="716" w:type="pct"/>
            <w:shd w:val="clear" w:color="auto" w:fill="auto"/>
            <w:vAlign w:val="bottom"/>
          </w:tcPr>
          <w:p w14:paraId="42A7E702" w14:textId="77777777" w:rsidR="00841A9B" w:rsidRDefault="00841A9B" w:rsidP="00841A9B">
            <w:pPr>
              <w:pStyle w:val="TableText"/>
            </w:pPr>
            <w:r>
              <w:t>4</w:t>
            </w:r>
          </w:p>
        </w:tc>
      </w:tr>
      <w:tr w:rsidR="00D96830" w:rsidRPr="004521A5" w14:paraId="5615654D" w14:textId="77777777" w:rsidTr="00D96830">
        <w:trPr>
          <w:trHeight w:val="439"/>
        </w:trPr>
        <w:tc>
          <w:tcPr>
            <w:tcW w:w="1419" w:type="pct"/>
            <w:tcBorders>
              <w:bottom w:val="single" w:sz="4" w:space="0" w:color="auto"/>
            </w:tcBorders>
            <w:shd w:val="clear" w:color="auto" w:fill="auto"/>
          </w:tcPr>
          <w:p w14:paraId="083D0A38" w14:textId="77777777" w:rsidR="00841A9B" w:rsidRPr="009A6A05" w:rsidRDefault="00841A9B" w:rsidP="00841A9B">
            <w:pPr>
              <w:pStyle w:val="TableText"/>
            </w:pPr>
            <w:r>
              <w:t>n=</w:t>
            </w:r>
            <w:r w:rsidRPr="009A6A05">
              <w:t>5</w:t>
            </w:r>
          </w:p>
        </w:tc>
        <w:tc>
          <w:tcPr>
            <w:tcW w:w="716" w:type="pct"/>
            <w:tcBorders>
              <w:bottom w:val="single" w:sz="4" w:space="0" w:color="auto"/>
            </w:tcBorders>
            <w:shd w:val="clear" w:color="auto" w:fill="auto"/>
            <w:vAlign w:val="bottom"/>
          </w:tcPr>
          <w:p w14:paraId="28BDC9EE" w14:textId="77777777" w:rsidR="00841A9B" w:rsidRDefault="00841A9B" w:rsidP="00841A9B">
            <w:pPr>
              <w:pStyle w:val="TableText"/>
            </w:pPr>
            <w:r>
              <w:t>0</w:t>
            </w:r>
          </w:p>
        </w:tc>
        <w:tc>
          <w:tcPr>
            <w:tcW w:w="716" w:type="pct"/>
            <w:tcBorders>
              <w:bottom w:val="single" w:sz="4" w:space="0" w:color="auto"/>
            </w:tcBorders>
            <w:shd w:val="clear" w:color="auto" w:fill="auto"/>
            <w:vAlign w:val="bottom"/>
          </w:tcPr>
          <w:p w14:paraId="13F88329" w14:textId="77777777" w:rsidR="00841A9B" w:rsidRDefault="00841A9B" w:rsidP="00841A9B">
            <w:pPr>
              <w:pStyle w:val="TableText"/>
            </w:pPr>
            <w:r>
              <w:t>1</w:t>
            </w:r>
          </w:p>
        </w:tc>
        <w:tc>
          <w:tcPr>
            <w:tcW w:w="716" w:type="pct"/>
            <w:tcBorders>
              <w:bottom w:val="single" w:sz="4" w:space="0" w:color="auto"/>
            </w:tcBorders>
            <w:shd w:val="clear" w:color="auto" w:fill="auto"/>
            <w:vAlign w:val="bottom"/>
          </w:tcPr>
          <w:p w14:paraId="3FCC6B40" w14:textId="77777777" w:rsidR="00841A9B" w:rsidRDefault="00841A9B" w:rsidP="00841A9B">
            <w:pPr>
              <w:pStyle w:val="TableText"/>
            </w:pPr>
            <w:r>
              <w:t>2</w:t>
            </w:r>
          </w:p>
        </w:tc>
        <w:tc>
          <w:tcPr>
            <w:tcW w:w="716" w:type="pct"/>
            <w:tcBorders>
              <w:bottom w:val="single" w:sz="4" w:space="0" w:color="auto"/>
            </w:tcBorders>
            <w:shd w:val="clear" w:color="auto" w:fill="auto"/>
            <w:vAlign w:val="bottom"/>
          </w:tcPr>
          <w:p w14:paraId="203B484C" w14:textId="77777777" w:rsidR="00841A9B" w:rsidRDefault="00841A9B" w:rsidP="00841A9B">
            <w:pPr>
              <w:pStyle w:val="TableText"/>
            </w:pPr>
            <w:r>
              <w:t>3</w:t>
            </w:r>
          </w:p>
        </w:tc>
        <w:tc>
          <w:tcPr>
            <w:tcW w:w="716" w:type="pct"/>
            <w:tcBorders>
              <w:bottom w:val="single" w:sz="4" w:space="0" w:color="auto"/>
            </w:tcBorders>
            <w:shd w:val="clear" w:color="auto" w:fill="auto"/>
            <w:vAlign w:val="bottom"/>
          </w:tcPr>
          <w:p w14:paraId="1D51617B" w14:textId="77777777" w:rsidR="00841A9B" w:rsidRDefault="00841A9B" w:rsidP="00841A9B">
            <w:pPr>
              <w:pStyle w:val="TableText"/>
            </w:pPr>
            <w:r>
              <w:t>5</w:t>
            </w:r>
          </w:p>
        </w:tc>
      </w:tr>
    </w:tbl>
    <w:p w14:paraId="0DDC2EF7" w14:textId="77777777" w:rsidR="00841A9B" w:rsidRDefault="00841A9B" w:rsidP="00841A9B">
      <w:pPr>
        <w:pStyle w:val="BodyText"/>
      </w:pPr>
    </w:p>
    <w:p w14:paraId="5996A038" w14:textId="77777777" w:rsidR="00546FDB" w:rsidRDefault="00546FDB" w:rsidP="00EF574E">
      <w:pPr>
        <w:pStyle w:val="TableHeading"/>
      </w:pPr>
    </w:p>
    <w:p w14:paraId="028D7B7C" w14:textId="77777777" w:rsidR="00546FDB" w:rsidRDefault="00546FDB" w:rsidP="00EF574E">
      <w:pPr>
        <w:pStyle w:val="TableHeading"/>
      </w:pPr>
    </w:p>
    <w:p w14:paraId="08C6F02F" w14:textId="77777777" w:rsidR="00546FDB" w:rsidRDefault="00546FDB" w:rsidP="00EF574E">
      <w:pPr>
        <w:pStyle w:val="TableHeading"/>
      </w:pPr>
    </w:p>
    <w:p w14:paraId="13DC127B" w14:textId="77777777" w:rsidR="00546FDB" w:rsidRDefault="00546FDB" w:rsidP="00EF574E">
      <w:pPr>
        <w:pStyle w:val="TableHeading"/>
      </w:pPr>
    </w:p>
    <w:p w14:paraId="2C3F3F60" w14:textId="3682EB34" w:rsidR="00EF574E" w:rsidRDefault="00EF574E" w:rsidP="00EF574E">
      <w:pPr>
        <w:pStyle w:val="TableHeading"/>
      </w:pPr>
      <w:r w:rsidRPr="00AF25D2">
        <w:lastRenderedPageBreak/>
        <w:t xml:space="preserve">Table </w:t>
      </w:r>
      <w:r>
        <w:t>7</w:t>
      </w:r>
    </w:p>
    <w:p w14:paraId="496B1631" w14:textId="1C0BE81A" w:rsidR="00EF574E" w:rsidRPr="00EF574E" w:rsidRDefault="00EF574E" w:rsidP="00EF574E">
      <w:pPr>
        <w:pStyle w:val="TableHeading"/>
        <w:rPr>
          <w:i/>
        </w:rPr>
      </w:pPr>
      <w:r>
        <w:rPr>
          <w:i/>
        </w:rPr>
        <w:t>Graphical comparison of the number of instructional techniques used and distribution on the mastery scale (maximum value relative to inline values)</w:t>
      </w:r>
    </w:p>
    <w:tbl>
      <w:tblPr>
        <w:tblW w:w="5000" w:type="pct"/>
        <w:jc w:val="center"/>
        <w:tblLook w:val="04A0" w:firstRow="1" w:lastRow="0" w:firstColumn="1" w:lastColumn="0" w:noHBand="0" w:noVBand="1"/>
      </w:tblPr>
      <w:tblGrid>
        <w:gridCol w:w="2224"/>
        <w:gridCol w:w="7136"/>
      </w:tblGrid>
      <w:tr w:rsidR="00D96830" w:rsidRPr="00EF574E" w14:paraId="56FDE0BD" w14:textId="77777777" w:rsidTr="00EA741A">
        <w:trPr>
          <w:trHeight w:val="243"/>
          <w:jc w:val="center"/>
        </w:trPr>
        <w:tc>
          <w:tcPr>
            <w:tcW w:w="1232" w:type="pct"/>
            <w:tcBorders>
              <w:top w:val="single" w:sz="4" w:space="0" w:color="auto"/>
              <w:left w:val="nil"/>
              <w:bottom w:val="single" w:sz="4" w:space="0" w:color="auto"/>
              <w:right w:val="nil"/>
            </w:tcBorders>
            <w:shd w:val="clear" w:color="auto" w:fill="auto"/>
          </w:tcPr>
          <w:p w14:paraId="0EAD8D1E" w14:textId="65F331E3" w:rsidR="00D96830" w:rsidRPr="00D96830" w:rsidRDefault="00D96830" w:rsidP="00EF574E">
            <w:pPr>
              <w:spacing w:after="0"/>
              <w:jc w:val="center"/>
              <w:rPr>
                <w:rFonts w:ascii="Times New Roman" w:eastAsia="Times New Roman" w:hAnsi="Times New Roman"/>
                <w:color w:val="000000"/>
              </w:rPr>
            </w:pPr>
            <w:r w:rsidRPr="00D96830">
              <w:rPr>
                <w:rFonts w:ascii="Times New Roman" w:hAnsi="Times New Roman"/>
              </w:rPr>
              <w:t xml:space="preserve"># </w:t>
            </w:r>
            <w:proofErr w:type="gramStart"/>
            <w:r w:rsidRPr="00D96830">
              <w:rPr>
                <w:rFonts w:ascii="Times New Roman" w:hAnsi="Times New Roman"/>
              </w:rPr>
              <w:t>of</w:t>
            </w:r>
            <w:proofErr w:type="gramEnd"/>
            <w:r w:rsidRPr="00D96830">
              <w:rPr>
                <w:rFonts w:ascii="Times New Roman" w:hAnsi="Times New Roman"/>
              </w:rPr>
              <w:t xml:space="preserve"> Techniques Used</w:t>
            </w:r>
          </w:p>
        </w:tc>
        <w:tc>
          <w:tcPr>
            <w:tcW w:w="3768" w:type="pct"/>
            <w:tcBorders>
              <w:top w:val="single" w:sz="4" w:space="0" w:color="auto"/>
              <w:left w:val="nil"/>
              <w:bottom w:val="single" w:sz="4" w:space="0" w:color="auto"/>
              <w:right w:val="nil"/>
            </w:tcBorders>
            <w:shd w:val="clear" w:color="auto" w:fill="auto"/>
            <w:noWrap/>
          </w:tcPr>
          <w:p w14:paraId="330B63BC" w14:textId="78930CC0" w:rsidR="00D96830" w:rsidRPr="00D96830" w:rsidRDefault="00D96830" w:rsidP="00D96830">
            <w:pPr>
              <w:spacing w:after="0"/>
              <w:jc w:val="center"/>
              <w:rPr>
                <w:rFonts w:ascii="Times New Roman" w:eastAsia="Times New Roman" w:hAnsi="Times New Roman"/>
                <w:noProof/>
                <w:color w:val="000000"/>
              </w:rPr>
            </w:pPr>
            <w:r w:rsidRPr="00D96830">
              <w:rPr>
                <w:rFonts w:ascii="Times New Roman" w:hAnsi="Times New Roman"/>
              </w:rPr>
              <w:t>Distribution across ‘Persistence of Knowledge’ scale</w:t>
            </w:r>
          </w:p>
        </w:tc>
      </w:tr>
      <w:tr w:rsidR="00546FDB" w:rsidRPr="00EF574E" w14:paraId="34CFDC92" w14:textId="77777777" w:rsidTr="00EA741A">
        <w:trPr>
          <w:trHeight w:val="1125"/>
          <w:jc w:val="center"/>
        </w:trPr>
        <w:tc>
          <w:tcPr>
            <w:tcW w:w="1232" w:type="pct"/>
            <w:tcBorders>
              <w:top w:val="single" w:sz="4" w:space="0" w:color="auto"/>
              <w:left w:val="nil"/>
              <w:bottom w:val="nil"/>
              <w:right w:val="nil"/>
            </w:tcBorders>
            <w:shd w:val="clear" w:color="auto" w:fill="auto"/>
            <w:vAlign w:val="center"/>
            <w:hideMark/>
          </w:tcPr>
          <w:p w14:paraId="31B8CBC6"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n=0</w:t>
            </w:r>
          </w:p>
        </w:tc>
        <w:tc>
          <w:tcPr>
            <w:tcW w:w="3768" w:type="pct"/>
            <w:vMerge w:val="restart"/>
            <w:tcBorders>
              <w:top w:val="single" w:sz="4" w:space="0" w:color="auto"/>
              <w:left w:val="nil"/>
              <w:right w:val="nil"/>
            </w:tcBorders>
            <w:shd w:val="clear" w:color="auto" w:fill="auto"/>
            <w:noWrap/>
            <w:vAlign w:val="bottom"/>
            <w:hideMark/>
          </w:tcPr>
          <w:p w14:paraId="196E3ABB" w14:textId="46482A96" w:rsidR="00546FDB" w:rsidRPr="00EF574E" w:rsidRDefault="00546FDB" w:rsidP="00546FDB">
            <w:pPr>
              <w:jc w:val="center"/>
              <w:rPr>
                <w:rFonts w:ascii="Calibri" w:eastAsia="Times New Roman" w:hAnsi="Calibri"/>
                <w:color w:val="000000"/>
              </w:rPr>
            </w:pPr>
            <w:r>
              <w:rPr>
                <w:rFonts w:ascii="Calibri" w:eastAsia="Times New Roman" w:hAnsi="Calibri"/>
                <w:noProof/>
                <w:color w:val="000000"/>
              </w:rPr>
              <w:drawing>
                <wp:inline distT="0" distB="0" distL="0" distR="0" wp14:anchorId="6E473D59" wp14:editId="13D3FAC6">
                  <wp:extent cx="4385945" cy="4436745"/>
                  <wp:effectExtent l="0" t="0" r="8255" b="8255"/>
                  <wp:docPr id="2" name="Picture 2" descr="Macintosh HD:Users:gswan:Documents:Publications:JCHE:tab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swan:Documents:Publications:JCHE:tabl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5945" cy="4436745"/>
                          </a:xfrm>
                          <a:prstGeom prst="rect">
                            <a:avLst/>
                          </a:prstGeom>
                          <a:noFill/>
                          <a:ln>
                            <a:noFill/>
                          </a:ln>
                        </pic:spPr>
                      </pic:pic>
                    </a:graphicData>
                  </a:graphic>
                </wp:inline>
              </w:drawing>
            </w:r>
          </w:p>
        </w:tc>
      </w:tr>
      <w:tr w:rsidR="00546FDB" w:rsidRPr="00EF574E" w14:paraId="3BF4FB16" w14:textId="77777777" w:rsidTr="00546FDB">
        <w:trPr>
          <w:trHeight w:val="1179"/>
          <w:jc w:val="center"/>
        </w:trPr>
        <w:tc>
          <w:tcPr>
            <w:tcW w:w="1232" w:type="pct"/>
            <w:tcBorders>
              <w:top w:val="nil"/>
              <w:left w:val="nil"/>
              <w:bottom w:val="nil"/>
              <w:right w:val="nil"/>
            </w:tcBorders>
            <w:shd w:val="clear" w:color="auto" w:fill="auto"/>
            <w:vAlign w:val="center"/>
            <w:hideMark/>
          </w:tcPr>
          <w:p w14:paraId="254D8F34"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n=1</w:t>
            </w:r>
          </w:p>
        </w:tc>
        <w:tc>
          <w:tcPr>
            <w:tcW w:w="3768" w:type="pct"/>
            <w:vMerge/>
            <w:tcBorders>
              <w:left w:val="nil"/>
              <w:right w:val="nil"/>
            </w:tcBorders>
            <w:shd w:val="clear" w:color="auto" w:fill="auto"/>
            <w:noWrap/>
            <w:vAlign w:val="bottom"/>
            <w:hideMark/>
          </w:tcPr>
          <w:p w14:paraId="2B7B8047" w14:textId="0C5627FD" w:rsidR="00546FDB" w:rsidRPr="00EF574E" w:rsidRDefault="00546FDB" w:rsidP="00D96830">
            <w:pPr>
              <w:jc w:val="center"/>
              <w:rPr>
                <w:rFonts w:ascii="Calibri" w:eastAsia="Times New Roman" w:hAnsi="Calibri"/>
                <w:color w:val="000000"/>
              </w:rPr>
            </w:pPr>
          </w:p>
        </w:tc>
      </w:tr>
      <w:tr w:rsidR="00546FDB" w:rsidRPr="00EF574E" w14:paraId="1C8018DF" w14:textId="77777777" w:rsidTr="00546FDB">
        <w:trPr>
          <w:trHeight w:val="1161"/>
          <w:jc w:val="center"/>
        </w:trPr>
        <w:tc>
          <w:tcPr>
            <w:tcW w:w="1232" w:type="pct"/>
            <w:tcBorders>
              <w:top w:val="nil"/>
              <w:left w:val="nil"/>
              <w:bottom w:val="nil"/>
              <w:right w:val="nil"/>
            </w:tcBorders>
            <w:shd w:val="clear" w:color="auto" w:fill="auto"/>
            <w:vAlign w:val="center"/>
            <w:hideMark/>
          </w:tcPr>
          <w:p w14:paraId="405145EC"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n=2</w:t>
            </w:r>
          </w:p>
        </w:tc>
        <w:tc>
          <w:tcPr>
            <w:tcW w:w="3768" w:type="pct"/>
            <w:vMerge/>
            <w:tcBorders>
              <w:left w:val="nil"/>
              <w:right w:val="nil"/>
            </w:tcBorders>
            <w:shd w:val="clear" w:color="auto" w:fill="auto"/>
            <w:noWrap/>
            <w:vAlign w:val="bottom"/>
            <w:hideMark/>
          </w:tcPr>
          <w:p w14:paraId="08F43ACA" w14:textId="452337CA" w:rsidR="00546FDB" w:rsidRPr="00EF574E" w:rsidRDefault="00546FDB" w:rsidP="00D96830">
            <w:pPr>
              <w:jc w:val="center"/>
              <w:rPr>
                <w:rFonts w:ascii="Calibri" w:eastAsia="Times New Roman" w:hAnsi="Calibri"/>
                <w:color w:val="000000"/>
              </w:rPr>
            </w:pPr>
          </w:p>
        </w:tc>
      </w:tr>
      <w:tr w:rsidR="00546FDB" w:rsidRPr="00EF574E" w14:paraId="193BE7D1" w14:textId="77777777" w:rsidTr="00546FDB">
        <w:trPr>
          <w:trHeight w:val="1200"/>
          <w:jc w:val="center"/>
        </w:trPr>
        <w:tc>
          <w:tcPr>
            <w:tcW w:w="1232" w:type="pct"/>
            <w:tcBorders>
              <w:top w:val="nil"/>
              <w:left w:val="nil"/>
              <w:bottom w:val="nil"/>
              <w:right w:val="nil"/>
            </w:tcBorders>
            <w:shd w:val="clear" w:color="auto" w:fill="auto"/>
            <w:vAlign w:val="center"/>
            <w:hideMark/>
          </w:tcPr>
          <w:p w14:paraId="7946F368"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n=3</w:t>
            </w:r>
          </w:p>
        </w:tc>
        <w:tc>
          <w:tcPr>
            <w:tcW w:w="3768" w:type="pct"/>
            <w:vMerge/>
            <w:tcBorders>
              <w:left w:val="nil"/>
              <w:right w:val="nil"/>
            </w:tcBorders>
            <w:shd w:val="clear" w:color="auto" w:fill="auto"/>
            <w:noWrap/>
            <w:vAlign w:val="bottom"/>
            <w:hideMark/>
          </w:tcPr>
          <w:p w14:paraId="31F4D92A" w14:textId="3A99E6BD" w:rsidR="00546FDB" w:rsidRPr="00EF574E" w:rsidRDefault="00546FDB" w:rsidP="00D96830">
            <w:pPr>
              <w:jc w:val="center"/>
              <w:rPr>
                <w:rFonts w:ascii="Calibri" w:eastAsia="Times New Roman" w:hAnsi="Calibri"/>
                <w:color w:val="000000"/>
              </w:rPr>
            </w:pPr>
          </w:p>
        </w:tc>
      </w:tr>
      <w:tr w:rsidR="00546FDB" w:rsidRPr="00EF574E" w14:paraId="599B349D" w14:textId="77777777" w:rsidTr="00546FDB">
        <w:trPr>
          <w:trHeight w:val="1143"/>
          <w:jc w:val="center"/>
        </w:trPr>
        <w:tc>
          <w:tcPr>
            <w:tcW w:w="1232" w:type="pct"/>
            <w:tcBorders>
              <w:top w:val="nil"/>
              <w:left w:val="nil"/>
              <w:bottom w:val="nil"/>
              <w:right w:val="nil"/>
            </w:tcBorders>
            <w:shd w:val="clear" w:color="auto" w:fill="auto"/>
            <w:vAlign w:val="center"/>
            <w:hideMark/>
          </w:tcPr>
          <w:p w14:paraId="2A390250"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n=4</w:t>
            </w:r>
          </w:p>
        </w:tc>
        <w:tc>
          <w:tcPr>
            <w:tcW w:w="3768" w:type="pct"/>
            <w:vMerge/>
            <w:tcBorders>
              <w:left w:val="nil"/>
              <w:right w:val="nil"/>
            </w:tcBorders>
            <w:shd w:val="clear" w:color="auto" w:fill="auto"/>
            <w:noWrap/>
            <w:vAlign w:val="bottom"/>
            <w:hideMark/>
          </w:tcPr>
          <w:p w14:paraId="681A722E" w14:textId="68E11DEE" w:rsidR="00546FDB" w:rsidRPr="00EF574E" w:rsidRDefault="00546FDB" w:rsidP="00D96830">
            <w:pPr>
              <w:jc w:val="center"/>
              <w:rPr>
                <w:rFonts w:ascii="Calibri" w:eastAsia="Times New Roman" w:hAnsi="Calibri"/>
                <w:color w:val="000000"/>
              </w:rPr>
            </w:pPr>
          </w:p>
        </w:tc>
      </w:tr>
      <w:tr w:rsidR="00546FDB" w:rsidRPr="00EF574E" w14:paraId="69189EFF" w14:textId="77777777" w:rsidTr="00EA741A">
        <w:trPr>
          <w:trHeight w:val="1179"/>
          <w:jc w:val="center"/>
        </w:trPr>
        <w:tc>
          <w:tcPr>
            <w:tcW w:w="1232" w:type="pct"/>
            <w:tcBorders>
              <w:top w:val="nil"/>
              <w:left w:val="nil"/>
              <w:bottom w:val="single" w:sz="4" w:space="0" w:color="auto"/>
              <w:right w:val="nil"/>
            </w:tcBorders>
            <w:shd w:val="clear" w:color="auto" w:fill="auto"/>
            <w:vAlign w:val="center"/>
            <w:hideMark/>
          </w:tcPr>
          <w:p w14:paraId="323E4613" w14:textId="77777777" w:rsidR="00546FDB" w:rsidRPr="00EF574E" w:rsidRDefault="00546FDB" w:rsidP="00EF574E">
            <w:pPr>
              <w:spacing w:after="0"/>
              <w:jc w:val="center"/>
              <w:rPr>
                <w:rFonts w:ascii="Times New Roman" w:eastAsia="Times New Roman" w:hAnsi="Times New Roman"/>
                <w:color w:val="000000"/>
              </w:rPr>
            </w:pPr>
            <w:r w:rsidRPr="00EF574E">
              <w:rPr>
                <w:rFonts w:ascii="Times New Roman" w:eastAsia="Times New Roman" w:hAnsi="Times New Roman"/>
                <w:color w:val="000000"/>
              </w:rPr>
              <w:t>n=5</w:t>
            </w:r>
          </w:p>
        </w:tc>
        <w:tc>
          <w:tcPr>
            <w:tcW w:w="3768" w:type="pct"/>
            <w:vMerge/>
            <w:tcBorders>
              <w:left w:val="nil"/>
              <w:bottom w:val="single" w:sz="4" w:space="0" w:color="auto"/>
              <w:right w:val="nil"/>
            </w:tcBorders>
            <w:shd w:val="clear" w:color="auto" w:fill="auto"/>
            <w:noWrap/>
            <w:vAlign w:val="bottom"/>
            <w:hideMark/>
          </w:tcPr>
          <w:p w14:paraId="1A1314FB" w14:textId="1156A937" w:rsidR="00546FDB" w:rsidRPr="00EF574E" w:rsidRDefault="00546FDB" w:rsidP="00D96830">
            <w:pPr>
              <w:spacing w:after="0"/>
              <w:jc w:val="center"/>
              <w:rPr>
                <w:rFonts w:ascii="Calibri" w:eastAsia="Times New Roman" w:hAnsi="Calibri"/>
                <w:color w:val="000000"/>
              </w:rPr>
            </w:pPr>
          </w:p>
        </w:tc>
      </w:tr>
    </w:tbl>
    <w:p w14:paraId="699F0349" w14:textId="77777777" w:rsidR="003F733B" w:rsidRDefault="003F733B" w:rsidP="00EF574E">
      <w:pPr>
        <w:pStyle w:val="figure"/>
      </w:pPr>
    </w:p>
    <w:p w14:paraId="16E1B374" w14:textId="52B40875" w:rsidR="009A5E21" w:rsidRDefault="00841A9B" w:rsidP="00123228">
      <w:pPr>
        <w:pStyle w:val="BodyText"/>
      </w:pPr>
      <w:r>
        <w:t xml:space="preserve">Peer tutoring, cooperative teams and re-teaching are techniques </w:t>
      </w:r>
      <w:proofErr w:type="spellStart"/>
      <w:r>
        <w:t>Guskey</w:t>
      </w:r>
      <w:proofErr w:type="spellEnd"/>
      <w:r>
        <w:t xml:space="preserve"> (2008) gives as examples of corrective activities that can be used to address misconceptions identified during formative assessment.  We feel that it is no surprise that techniques that are aligned with suggested corrective activities correlated with the courses students rated the highest.  Even demonstrations could be considered a form of re-teaching, in which an instructor </w:t>
      </w:r>
      <w:r w:rsidRPr="002D67ED">
        <w:t>“explains difficult concepts again using a different approach or different examples” (</w:t>
      </w:r>
      <w:r>
        <w:t xml:space="preserve">p. </w:t>
      </w:r>
      <w:r w:rsidRPr="002D67ED">
        <w:t>3)</w:t>
      </w:r>
      <w:r>
        <w:t xml:space="preserve">.  Again, it is </w:t>
      </w:r>
      <w:r>
        <w:lastRenderedPageBreak/>
        <w:t>important to point out all of these techniques were used during class time--so not just group work, but group work in the presence of the instructor.  Of course, c</w:t>
      </w:r>
      <w:r w:rsidRPr="002337B7">
        <w:t xml:space="preserve">lickers </w:t>
      </w:r>
      <w:r w:rsidRPr="002D67ED">
        <w:rPr>
          <w:i/>
        </w:rPr>
        <w:t>could</w:t>
      </w:r>
      <w:r w:rsidRPr="002337B7">
        <w:t xml:space="preserve"> be used to help facilitate any </w:t>
      </w:r>
      <w:r>
        <w:t>of these techniques.  In fact, any number of instructional technologies could be used with any of the mentioned tactics.  While certain technologies may fit one implementation better than others, most are relatively blunt in nature so that they can be repurposed for many different uses.</w:t>
      </w:r>
    </w:p>
    <w:p w14:paraId="6CBACF57" w14:textId="77777777" w:rsidR="003463B2" w:rsidRDefault="003463B2" w:rsidP="00841A9B">
      <w:pPr>
        <w:pStyle w:val="BodyText"/>
      </w:pPr>
    </w:p>
    <w:p w14:paraId="202CD008" w14:textId="77777777" w:rsidR="00841A9B" w:rsidRDefault="00841A9B" w:rsidP="00841A9B">
      <w:pPr>
        <w:pStyle w:val="Heading1"/>
      </w:pPr>
      <w:r>
        <w:t>Conclusion</w:t>
      </w:r>
    </w:p>
    <w:p w14:paraId="72357A6D" w14:textId="6ED82F94" w:rsidR="00123228" w:rsidRDefault="00841A9B" w:rsidP="00123228">
      <w:pPr>
        <w:pStyle w:val="BodyText"/>
      </w:pPr>
      <w:r>
        <w:rPr>
          <w:szCs w:val="32"/>
        </w:rPr>
        <w:t>Technology tools like clickers are on campuses and probably not going anywhere and if they do, they will most likely be replaced by something else.  For example, just before submitting this paper for review, we received an email about a new course capture platform that was recently purchased by the University administration and would be implemented in the coming months.  One of the first statements in the announc</w:t>
      </w:r>
      <w:r w:rsidRPr="00151856">
        <w:t>ement was, “While course capture might not fundamentally alter a faculty member’s underlying pedagogy, its adoption can promote student learning.”</w:t>
      </w:r>
      <w:r>
        <w:t xml:space="preserve">  Without addressing the pedagogy underpinning the use of technology in some systemic fashion, how can any tool lead to greater productivity?</w:t>
      </w:r>
    </w:p>
    <w:p w14:paraId="60EF54AB" w14:textId="77777777" w:rsidR="00123228" w:rsidRDefault="00841A9B" w:rsidP="00841A9B">
      <w:pPr>
        <w:pStyle w:val="BodyText"/>
      </w:pPr>
      <w:r>
        <w:t xml:space="preserve">  </w:t>
      </w:r>
    </w:p>
    <w:p w14:paraId="08A6984B" w14:textId="76A63294" w:rsidR="00841A9B" w:rsidRDefault="00841A9B" w:rsidP="00841A9B">
      <w:pPr>
        <w:pStyle w:val="BodyText"/>
      </w:pPr>
      <w:r>
        <w:t xml:space="preserve">Any technology-based interventions should be accompanied with a robust implementation plan that is rooted in research about teaching and learning.  While clickers, learning management systems and Smartboards can be used to enhance existing practices, if those practices are not rooted in research on effective learning and teaching, there may be no value added to the process.  Worse, they may actually further cement or empower practices that are detrimental to learning and student development.  </w:t>
      </w:r>
      <w:r w:rsidRPr="0071726C">
        <w:t xml:space="preserve">Relying on the affordances of a particular </w:t>
      </w:r>
      <w:r w:rsidRPr="0071726C">
        <w:lastRenderedPageBreak/>
        <w:t xml:space="preserve">technology and individual instructors </w:t>
      </w:r>
      <w:r>
        <w:t xml:space="preserve">to have an </w:t>
      </w:r>
      <w:r w:rsidRPr="0071726C">
        <w:t xml:space="preserve">organizational impact on student achievement </w:t>
      </w:r>
      <w:r>
        <w:t>is probably wishful thinking at best.</w:t>
      </w:r>
    </w:p>
    <w:p w14:paraId="32940677" w14:textId="1C32BF85" w:rsidR="00841A9B" w:rsidRDefault="00841A9B">
      <w:pPr>
        <w:spacing w:after="0"/>
        <w:rPr>
          <w:rFonts w:ascii="Times New Roman" w:eastAsia="Times New Roman" w:hAnsi="Times New Roman"/>
          <w:b/>
          <w:bCs/>
          <w:kern w:val="32"/>
        </w:rPr>
      </w:pPr>
    </w:p>
    <w:p w14:paraId="73C8D0C7" w14:textId="77777777" w:rsidR="00841A9B" w:rsidRPr="00DD3CEF" w:rsidRDefault="00841A9B" w:rsidP="00DD3CEF">
      <w:pPr>
        <w:pStyle w:val="Heading1"/>
      </w:pPr>
      <w:r w:rsidRPr="00DD3CEF">
        <w:t>References</w:t>
      </w:r>
    </w:p>
    <w:p w14:paraId="1BBA7D0E" w14:textId="77777777" w:rsidR="00B273E6" w:rsidRDefault="00B273E6" w:rsidP="00841A9B">
      <w:pPr>
        <w:pStyle w:val="references"/>
        <w:rPr>
          <w:szCs w:val="22"/>
        </w:rPr>
      </w:pPr>
    </w:p>
    <w:p w14:paraId="79FE626B" w14:textId="77777777" w:rsidR="00841A9B" w:rsidRDefault="00841A9B" w:rsidP="00841A9B">
      <w:pPr>
        <w:pStyle w:val="references"/>
        <w:rPr>
          <w:szCs w:val="22"/>
        </w:rPr>
      </w:pPr>
      <w:r w:rsidRPr="00450092">
        <w:rPr>
          <w:szCs w:val="22"/>
        </w:rPr>
        <w:t xml:space="preserve">Bain, A. (2007). </w:t>
      </w:r>
      <w:r>
        <w:rPr>
          <w:i/>
          <w:szCs w:val="22"/>
        </w:rPr>
        <w:t>The self-organizing s</w:t>
      </w:r>
      <w:r w:rsidRPr="00450092">
        <w:rPr>
          <w:i/>
          <w:szCs w:val="22"/>
        </w:rPr>
        <w:t xml:space="preserve">chool. </w:t>
      </w:r>
      <w:r w:rsidRPr="00450092">
        <w:rPr>
          <w:szCs w:val="22"/>
        </w:rPr>
        <w:t>Rowman &amp; Littlefield Education</w:t>
      </w:r>
      <w:r>
        <w:rPr>
          <w:szCs w:val="22"/>
        </w:rPr>
        <w:t>.</w:t>
      </w:r>
    </w:p>
    <w:p w14:paraId="5C5C437F" w14:textId="6109DCB5" w:rsidR="00B273E6" w:rsidRPr="00B273E6" w:rsidRDefault="00EB6017" w:rsidP="00B273E6">
      <w:pPr>
        <w:pStyle w:val="references"/>
      </w:pPr>
      <w:r>
        <w:t>Bain</w:t>
      </w:r>
      <w:r w:rsidR="00B273E6">
        <w:t>, A.</w:t>
      </w:r>
      <w:r>
        <w:t>, &amp; Parkes, R.J.</w:t>
      </w:r>
      <w:r w:rsidR="00B273E6">
        <w:t xml:space="preserve"> (2006), </w:t>
      </w:r>
      <w:r w:rsidR="00B273E6" w:rsidRPr="00C40892">
        <w:t>Can schools realize the learning pot</w:t>
      </w:r>
      <w:r w:rsidR="00B273E6">
        <w:t xml:space="preserve">ential of knowledge </w:t>
      </w:r>
      <w:proofErr w:type="gramStart"/>
      <w:r w:rsidR="00B273E6">
        <w:t>management?</w:t>
      </w:r>
      <w:r w:rsidR="00B273E6" w:rsidRPr="00C40892">
        <w:t>,</w:t>
      </w:r>
      <w:proofErr w:type="gramEnd"/>
      <w:r w:rsidR="00B273E6" w:rsidRPr="00C40892">
        <w:t xml:space="preserve"> </w:t>
      </w:r>
      <w:r w:rsidR="00B273E6" w:rsidRPr="00C40892">
        <w:rPr>
          <w:i/>
        </w:rPr>
        <w:t>Canadian Journal of Learning and Technology</w:t>
      </w:r>
      <w:r w:rsidR="00B273E6">
        <w:rPr>
          <w:i/>
        </w:rPr>
        <w:t xml:space="preserve">, </w:t>
      </w:r>
      <w:r w:rsidR="00B273E6" w:rsidRPr="00C40892">
        <w:rPr>
          <w:i/>
        </w:rPr>
        <w:t>32</w:t>
      </w:r>
      <w:r w:rsidR="00B273E6">
        <w:t>(</w:t>
      </w:r>
      <w:r w:rsidR="00B273E6" w:rsidRPr="00C40892">
        <w:t>2</w:t>
      </w:r>
      <w:r w:rsidR="00B273E6">
        <w:t>)</w:t>
      </w:r>
      <w:r w:rsidR="00B273E6" w:rsidRPr="00C40892">
        <w:t>.</w:t>
      </w:r>
      <w:r>
        <w:t xml:space="preserve"> </w:t>
      </w:r>
      <w:r w:rsidR="00361741">
        <w:t>Retrieved</w:t>
      </w:r>
      <w:r>
        <w:t xml:space="preserve"> from </w:t>
      </w:r>
      <w:r w:rsidRPr="00EB6017">
        <w:t>http://www.cjlt.ca/index.php/cjlt/article/view/49/46</w:t>
      </w:r>
    </w:p>
    <w:p w14:paraId="2F129417" w14:textId="77777777" w:rsidR="00841A9B" w:rsidRDefault="00841A9B" w:rsidP="00841A9B">
      <w:pPr>
        <w:pStyle w:val="references"/>
        <w:rPr>
          <w:rFonts w:cs="Verdana"/>
          <w:szCs w:val="26"/>
        </w:rPr>
      </w:pPr>
      <w:r w:rsidRPr="00A8388A">
        <w:rPr>
          <w:rFonts w:cs="Verdana"/>
          <w:szCs w:val="26"/>
        </w:rPr>
        <w:t xml:space="preserve">Black, </w:t>
      </w:r>
      <w:r>
        <w:rPr>
          <w:rFonts w:cs="Verdana"/>
          <w:szCs w:val="26"/>
        </w:rPr>
        <w:t>P. &amp;</w:t>
      </w:r>
      <w:r w:rsidRPr="00A8388A">
        <w:rPr>
          <w:rFonts w:cs="Verdana"/>
          <w:szCs w:val="26"/>
        </w:rPr>
        <w:t xml:space="preserve"> </w:t>
      </w:r>
      <w:proofErr w:type="spellStart"/>
      <w:r w:rsidRPr="00A8388A">
        <w:rPr>
          <w:rFonts w:cs="Verdana"/>
          <w:szCs w:val="26"/>
        </w:rPr>
        <w:t>Wiliam</w:t>
      </w:r>
      <w:proofErr w:type="spellEnd"/>
      <w:r w:rsidRPr="00A8388A">
        <w:rPr>
          <w:rFonts w:cs="Verdana"/>
          <w:szCs w:val="26"/>
        </w:rPr>
        <w:t>, D</w:t>
      </w:r>
      <w:r>
        <w:rPr>
          <w:rFonts w:cs="Verdana"/>
          <w:szCs w:val="26"/>
        </w:rPr>
        <w:t xml:space="preserve">. </w:t>
      </w:r>
      <w:r w:rsidRPr="00A8388A">
        <w:rPr>
          <w:rFonts w:cs="Verdana"/>
          <w:szCs w:val="26"/>
        </w:rPr>
        <w:t>(1998)</w:t>
      </w:r>
      <w:r>
        <w:rPr>
          <w:rFonts w:cs="Verdana"/>
          <w:szCs w:val="26"/>
        </w:rPr>
        <w:t xml:space="preserve">.  </w:t>
      </w:r>
      <w:r w:rsidRPr="00A8388A">
        <w:rPr>
          <w:rFonts w:cs="Verdana"/>
          <w:szCs w:val="26"/>
        </w:rPr>
        <w:t xml:space="preserve">Inside the </w:t>
      </w:r>
      <w:r>
        <w:rPr>
          <w:rFonts w:cs="Verdana"/>
          <w:szCs w:val="26"/>
        </w:rPr>
        <w:t>b</w:t>
      </w:r>
      <w:r w:rsidRPr="00A8388A">
        <w:rPr>
          <w:rFonts w:cs="Verdana"/>
          <w:szCs w:val="26"/>
        </w:rPr>
        <w:t xml:space="preserve">lack </w:t>
      </w:r>
      <w:r>
        <w:rPr>
          <w:rFonts w:cs="Verdana"/>
          <w:szCs w:val="26"/>
        </w:rPr>
        <w:t>b</w:t>
      </w:r>
      <w:r w:rsidRPr="00A8388A">
        <w:rPr>
          <w:rFonts w:cs="Verdana"/>
          <w:szCs w:val="26"/>
        </w:rPr>
        <w:t xml:space="preserve">ox: Raising </w:t>
      </w:r>
      <w:r>
        <w:rPr>
          <w:rFonts w:cs="Verdana"/>
          <w:szCs w:val="26"/>
        </w:rPr>
        <w:t>s</w:t>
      </w:r>
      <w:r w:rsidRPr="00A8388A">
        <w:rPr>
          <w:rFonts w:cs="Verdana"/>
          <w:szCs w:val="26"/>
        </w:rPr>
        <w:t xml:space="preserve">tandards </w:t>
      </w:r>
      <w:r>
        <w:rPr>
          <w:rFonts w:cs="Verdana"/>
          <w:szCs w:val="26"/>
        </w:rPr>
        <w:t>t</w:t>
      </w:r>
      <w:r w:rsidRPr="00A8388A">
        <w:rPr>
          <w:rFonts w:cs="Verdana"/>
          <w:szCs w:val="26"/>
        </w:rPr>
        <w:t xml:space="preserve">hrough </w:t>
      </w:r>
      <w:r>
        <w:rPr>
          <w:rFonts w:cs="Verdana"/>
          <w:szCs w:val="26"/>
        </w:rPr>
        <w:t>c</w:t>
      </w:r>
      <w:r w:rsidRPr="00A8388A">
        <w:rPr>
          <w:rFonts w:cs="Verdana"/>
          <w:szCs w:val="26"/>
        </w:rPr>
        <w:t xml:space="preserve">lassroom </w:t>
      </w:r>
      <w:r>
        <w:rPr>
          <w:rFonts w:cs="Verdana"/>
          <w:szCs w:val="26"/>
        </w:rPr>
        <w:t>a</w:t>
      </w:r>
      <w:r w:rsidRPr="00A8388A">
        <w:rPr>
          <w:rFonts w:cs="Verdana"/>
          <w:szCs w:val="26"/>
        </w:rPr>
        <w:t>ssessment</w:t>
      </w:r>
      <w:r>
        <w:rPr>
          <w:rFonts w:cs="Verdana"/>
          <w:szCs w:val="26"/>
        </w:rPr>
        <w:t>.</w:t>
      </w:r>
      <w:r w:rsidRPr="00A8388A">
        <w:rPr>
          <w:rFonts w:cs="Verdana"/>
          <w:szCs w:val="26"/>
        </w:rPr>
        <w:t xml:space="preserve"> </w:t>
      </w:r>
      <w:r w:rsidRPr="00A8388A">
        <w:rPr>
          <w:rFonts w:cs="Verdana"/>
          <w:i/>
          <w:iCs/>
          <w:szCs w:val="26"/>
        </w:rPr>
        <w:t xml:space="preserve">Phi Delta </w:t>
      </w:r>
      <w:proofErr w:type="spellStart"/>
      <w:r w:rsidRPr="00A8388A">
        <w:rPr>
          <w:rFonts w:cs="Verdana"/>
          <w:i/>
          <w:iCs/>
          <w:szCs w:val="26"/>
        </w:rPr>
        <w:t>Kappan</w:t>
      </w:r>
      <w:proofErr w:type="spellEnd"/>
      <w:r w:rsidRPr="00A8388A">
        <w:rPr>
          <w:rFonts w:cs="Verdana"/>
          <w:szCs w:val="26"/>
        </w:rPr>
        <w:t xml:space="preserve">, </w:t>
      </w:r>
      <w:r w:rsidRPr="00A8388A">
        <w:rPr>
          <w:rFonts w:cs="Verdana"/>
          <w:i/>
          <w:szCs w:val="26"/>
        </w:rPr>
        <w:t>80(1)</w:t>
      </w:r>
      <w:r>
        <w:rPr>
          <w:rFonts w:cs="Verdana"/>
          <w:szCs w:val="26"/>
        </w:rPr>
        <w:t>,</w:t>
      </w:r>
      <w:r w:rsidRPr="00A8388A">
        <w:rPr>
          <w:rFonts w:cs="Verdana"/>
          <w:szCs w:val="26"/>
        </w:rPr>
        <w:t xml:space="preserve"> 139-148.</w:t>
      </w:r>
    </w:p>
    <w:p w14:paraId="76C7FB83" w14:textId="77777777" w:rsidR="00841A9B" w:rsidRDefault="00841A9B" w:rsidP="00841A9B">
      <w:pPr>
        <w:pStyle w:val="references"/>
        <w:rPr>
          <w:rFonts w:cs="Verdana"/>
          <w:szCs w:val="26"/>
        </w:rPr>
      </w:pPr>
      <w:r>
        <w:rPr>
          <w:rFonts w:cs="Verdana"/>
          <w:szCs w:val="26"/>
        </w:rPr>
        <w:t xml:space="preserve">Bloom, B. (1968). A taxonomy of educational </w:t>
      </w:r>
      <w:proofErr w:type="gramStart"/>
      <w:r>
        <w:rPr>
          <w:rFonts w:cs="Verdana"/>
          <w:szCs w:val="26"/>
        </w:rPr>
        <w:t>objectives..</w:t>
      </w:r>
      <w:proofErr w:type="gramEnd"/>
      <w:r>
        <w:rPr>
          <w:rFonts w:cs="Verdana"/>
          <w:szCs w:val="26"/>
        </w:rPr>
        <w:t xml:space="preserve"> </w:t>
      </w:r>
    </w:p>
    <w:p w14:paraId="7108C387" w14:textId="77777777" w:rsidR="00841A9B" w:rsidRDefault="00841A9B" w:rsidP="00841A9B">
      <w:pPr>
        <w:pStyle w:val="references"/>
      </w:pPr>
      <w:r w:rsidRPr="00613DEE">
        <w:t>Crouch, C</w:t>
      </w:r>
      <w:r>
        <w:t xml:space="preserve">. </w:t>
      </w:r>
      <w:r w:rsidRPr="00613DEE">
        <w:t>H., &amp; Mazur, E</w:t>
      </w:r>
      <w:r>
        <w:t>. (2001).</w:t>
      </w:r>
      <w:r w:rsidRPr="00613DEE">
        <w:t xml:space="preserve"> Peer instruction: Ten years of experience and results</w:t>
      </w:r>
      <w:r>
        <w:t xml:space="preserve">. </w:t>
      </w:r>
      <w:r w:rsidRPr="009A3D83">
        <w:rPr>
          <w:i/>
        </w:rPr>
        <w:t>American Journal of Physics</w:t>
      </w:r>
      <w:r w:rsidRPr="00613DEE">
        <w:t xml:space="preserve">, </w:t>
      </w:r>
      <w:r w:rsidRPr="00A56C98">
        <w:rPr>
          <w:i/>
        </w:rPr>
        <w:t>69</w:t>
      </w:r>
      <w:r>
        <w:t>(9)</w:t>
      </w:r>
      <w:r w:rsidRPr="00613DEE">
        <w:t>, 970-977.</w:t>
      </w:r>
    </w:p>
    <w:p w14:paraId="78420475" w14:textId="77777777" w:rsidR="00841A9B" w:rsidRPr="0047090A" w:rsidRDefault="00841A9B" w:rsidP="00841A9B">
      <w:pPr>
        <w:pStyle w:val="references"/>
        <w:rPr>
          <w:i/>
          <w:iCs/>
        </w:rPr>
      </w:pPr>
      <w:r w:rsidRPr="0047090A">
        <w:t>Clark, R</w:t>
      </w:r>
      <w:r>
        <w:t xml:space="preserve">. </w:t>
      </w:r>
      <w:r w:rsidRPr="0047090A">
        <w:t>(1983)</w:t>
      </w:r>
      <w:r>
        <w:t xml:space="preserve">.  </w:t>
      </w:r>
      <w:r w:rsidRPr="0047090A">
        <w:t>Reconsidering</w:t>
      </w:r>
      <w:r>
        <w:t xml:space="preserve"> </w:t>
      </w:r>
      <w:r w:rsidRPr="0047090A">
        <w:t>research on learning from media</w:t>
      </w:r>
      <w:r>
        <w:t xml:space="preserve">.  </w:t>
      </w:r>
      <w:r w:rsidRPr="0047090A">
        <w:rPr>
          <w:i/>
          <w:iCs/>
        </w:rPr>
        <w:t xml:space="preserve">Review </w:t>
      </w:r>
      <w:r>
        <w:rPr>
          <w:i/>
          <w:iCs/>
        </w:rPr>
        <w:t>o</w:t>
      </w:r>
      <w:r w:rsidRPr="0047090A">
        <w:rPr>
          <w:i/>
          <w:iCs/>
        </w:rPr>
        <w:t>f Educational Research,</w:t>
      </w:r>
      <w:r>
        <w:rPr>
          <w:i/>
          <w:iCs/>
        </w:rPr>
        <w:t xml:space="preserve"> </w:t>
      </w:r>
      <w:r w:rsidRPr="00A56C98">
        <w:rPr>
          <w:i/>
        </w:rPr>
        <w:t>53</w:t>
      </w:r>
      <w:r w:rsidRPr="0047090A">
        <w:t>(4),</w:t>
      </w:r>
      <w:r>
        <w:t xml:space="preserve"> </w:t>
      </w:r>
      <w:r w:rsidRPr="0047090A">
        <w:t>445-449.</w:t>
      </w:r>
    </w:p>
    <w:p w14:paraId="17B1E46F" w14:textId="77777777" w:rsidR="00841A9B" w:rsidRDefault="00841A9B" w:rsidP="00841A9B">
      <w:pPr>
        <w:pStyle w:val="references"/>
      </w:pPr>
      <w:r>
        <w:t>Clark, R. (1</w:t>
      </w:r>
      <w:r w:rsidRPr="0047090A">
        <w:t>994)</w:t>
      </w:r>
      <w:r>
        <w:t xml:space="preserve">. </w:t>
      </w:r>
      <w:r w:rsidRPr="0047090A">
        <w:t>Media will never influence learning</w:t>
      </w:r>
      <w:r>
        <w:t xml:space="preserve">.  </w:t>
      </w:r>
      <w:r w:rsidRPr="0047090A">
        <w:rPr>
          <w:i/>
          <w:iCs/>
        </w:rPr>
        <w:t>Educational Technology, Research and Development,</w:t>
      </w:r>
      <w:r w:rsidRPr="00A56C98">
        <w:rPr>
          <w:i/>
          <w:iCs/>
        </w:rPr>
        <w:t xml:space="preserve"> </w:t>
      </w:r>
      <w:r w:rsidRPr="00A56C98">
        <w:rPr>
          <w:i/>
        </w:rPr>
        <w:t>42</w:t>
      </w:r>
      <w:r w:rsidRPr="0047090A">
        <w:t>(2),</w:t>
      </w:r>
      <w:r>
        <w:t xml:space="preserve"> </w:t>
      </w:r>
      <w:r w:rsidRPr="0047090A">
        <w:t>21-29.</w:t>
      </w:r>
    </w:p>
    <w:p w14:paraId="1E952768" w14:textId="553FE496" w:rsidR="00841A9B" w:rsidRDefault="00841A9B" w:rsidP="00B273E6">
      <w:pPr>
        <w:pStyle w:val="references"/>
        <w:rPr>
          <w:b/>
          <w:sz w:val="32"/>
        </w:rPr>
      </w:pPr>
      <w:proofErr w:type="spellStart"/>
      <w:r>
        <w:t>Guskey</w:t>
      </w:r>
      <w:proofErr w:type="spellEnd"/>
      <w:r>
        <w:t xml:space="preserve">, T. (2005).  </w:t>
      </w:r>
      <w:r w:rsidRPr="004463C7">
        <w:rPr>
          <w:i/>
        </w:rPr>
        <w:t xml:space="preserve">Formative </w:t>
      </w:r>
      <w:r w:rsidR="00B273E6">
        <w:rPr>
          <w:i/>
        </w:rPr>
        <w:t>C</w:t>
      </w:r>
      <w:r w:rsidRPr="004463C7">
        <w:rPr>
          <w:i/>
        </w:rPr>
        <w:t xml:space="preserve">lassroom </w:t>
      </w:r>
      <w:r w:rsidR="00B273E6">
        <w:rPr>
          <w:i/>
        </w:rPr>
        <w:t>A</w:t>
      </w:r>
      <w:r w:rsidR="00DD3CEF">
        <w:rPr>
          <w:i/>
        </w:rPr>
        <w:t>ss</w:t>
      </w:r>
      <w:r w:rsidRPr="004463C7">
        <w:rPr>
          <w:i/>
        </w:rPr>
        <w:t>essment and Benjam</w:t>
      </w:r>
      <w:r w:rsidR="00B273E6">
        <w:rPr>
          <w:i/>
        </w:rPr>
        <w:t xml:space="preserve">in S. Bloom: Theory, research, </w:t>
      </w:r>
      <w:r w:rsidRPr="004463C7">
        <w:rPr>
          <w:i/>
        </w:rPr>
        <w:t>and implications</w:t>
      </w:r>
      <w:r>
        <w:t>. Paper presented at the Annual Meeti</w:t>
      </w:r>
      <w:r w:rsidR="00DD3CEF">
        <w:t>ng of the American Educational Research</w:t>
      </w:r>
      <w:r>
        <w:t xml:space="preserve"> Association (AERA). Montreal, CA.</w:t>
      </w:r>
      <w:r>
        <w:rPr>
          <w:b/>
          <w:sz w:val="32"/>
        </w:rPr>
        <w:t xml:space="preserve"> </w:t>
      </w:r>
    </w:p>
    <w:p w14:paraId="5B157348" w14:textId="77777777" w:rsidR="00841A9B" w:rsidRPr="004463C7" w:rsidRDefault="00841A9B" w:rsidP="00841A9B">
      <w:pPr>
        <w:pStyle w:val="Default"/>
      </w:pPr>
    </w:p>
    <w:p w14:paraId="60F47B54" w14:textId="77777777" w:rsidR="00841A9B" w:rsidRDefault="00841A9B" w:rsidP="00841A9B">
      <w:pPr>
        <w:pStyle w:val="references"/>
        <w:rPr>
          <w:rFonts w:cs="Verdana"/>
          <w:szCs w:val="26"/>
        </w:rPr>
      </w:pPr>
      <w:proofErr w:type="spellStart"/>
      <w:r w:rsidRPr="00A8388A">
        <w:rPr>
          <w:rFonts w:cs="Verdana"/>
          <w:szCs w:val="26"/>
        </w:rPr>
        <w:t>Guskey</w:t>
      </w:r>
      <w:proofErr w:type="spellEnd"/>
      <w:r w:rsidRPr="00A8388A">
        <w:rPr>
          <w:rFonts w:cs="Verdana"/>
          <w:szCs w:val="26"/>
        </w:rPr>
        <w:t>, T</w:t>
      </w:r>
      <w:r>
        <w:rPr>
          <w:rFonts w:cs="Verdana"/>
          <w:szCs w:val="26"/>
        </w:rPr>
        <w:t xml:space="preserve">. </w:t>
      </w:r>
      <w:r w:rsidRPr="00A8388A">
        <w:rPr>
          <w:rFonts w:cs="Verdana"/>
          <w:szCs w:val="26"/>
        </w:rPr>
        <w:t>(2008)</w:t>
      </w:r>
      <w:r>
        <w:rPr>
          <w:rFonts w:cs="Verdana"/>
          <w:szCs w:val="26"/>
        </w:rPr>
        <w:t xml:space="preserve">. </w:t>
      </w:r>
      <w:r w:rsidRPr="00A8388A">
        <w:rPr>
          <w:rFonts w:cs="Verdana"/>
          <w:szCs w:val="26"/>
        </w:rPr>
        <w:t xml:space="preserve">The </w:t>
      </w:r>
      <w:r>
        <w:rPr>
          <w:rFonts w:cs="Verdana"/>
          <w:szCs w:val="26"/>
        </w:rPr>
        <w:t>r</w:t>
      </w:r>
      <w:r w:rsidRPr="00A8388A">
        <w:rPr>
          <w:rFonts w:cs="Verdana"/>
          <w:szCs w:val="26"/>
        </w:rPr>
        <w:t xml:space="preserve">est of the </w:t>
      </w:r>
      <w:r>
        <w:rPr>
          <w:rFonts w:cs="Verdana"/>
          <w:szCs w:val="26"/>
        </w:rPr>
        <w:t>s</w:t>
      </w:r>
      <w:r w:rsidRPr="00A8388A">
        <w:rPr>
          <w:rFonts w:cs="Verdana"/>
          <w:szCs w:val="26"/>
        </w:rPr>
        <w:t>tory</w:t>
      </w:r>
      <w:r>
        <w:rPr>
          <w:rFonts w:cs="Verdana"/>
          <w:szCs w:val="26"/>
        </w:rPr>
        <w:t xml:space="preserve">.  </w:t>
      </w:r>
      <w:r w:rsidRPr="00A8388A">
        <w:rPr>
          <w:rFonts w:cs="Verdana"/>
          <w:i/>
          <w:szCs w:val="26"/>
        </w:rPr>
        <w:t>Educational Leadership, 65</w:t>
      </w:r>
      <w:r w:rsidRPr="00A56C98">
        <w:rPr>
          <w:rFonts w:cs="Verdana"/>
          <w:szCs w:val="26"/>
        </w:rPr>
        <w:t>(4),</w:t>
      </w:r>
      <w:r w:rsidRPr="00A8388A">
        <w:rPr>
          <w:rFonts w:cs="Verdana"/>
          <w:szCs w:val="26"/>
        </w:rPr>
        <w:t xml:space="preserve"> 28-35</w:t>
      </w:r>
      <w:r>
        <w:rPr>
          <w:rFonts w:cs="Verdana"/>
          <w:szCs w:val="26"/>
        </w:rPr>
        <w:t>.</w:t>
      </w:r>
    </w:p>
    <w:p w14:paraId="1E2C2E1E" w14:textId="77777777" w:rsidR="00841A9B" w:rsidRPr="00F12510" w:rsidRDefault="00841A9B" w:rsidP="00841A9B">
      <w:pPr>
        <w:pStyle w:val="references"/>
      </w:pPr>
      <w:proofErr w:type="spellStart"/>
      <w:r w:rsidRPr="00F12510">
        <w:t>Guskey</w:t>
      </w:r>
      <w:proofErr w:type="spellEnd"/>
      <w:r w:rsidRPr="00F12510">
        <w:t>, T</w:t>
      </w:r>
      <w:r>
        <w:t xml:space="preserve">.  </w:t>
      </w:r>
      <w:r w:rsidRPr="00F12510">
        <w:t>R</w:t>
      </w:r>
      <w:r>
        <w:t xml:space="preserve">. </w:t>
      </w:r>
      <w:r w:rsidRPr="00F12510">
        <w:t>(</w:t>
      </w:r>
      <w:r>
        <w:t>2010</w:t>
      </w:r>
      <w:r w:rsidRPr="00F12510">
        <w:t>)</w:t>
      </w:r>
      <w:r>
        <w:t>.  Formative assessment:  The contribution of Benjamin S. Bloom</w:t>
      </w:r>
      <w:r>
        <w:br/>
      </w:r>
      <w:r>
        <w:lastRenderedPageBreak/>
        <w:t xml:space="preserve">(pp. 106-124).  </w:t>
      </w:r>
      <w:r w:rsidRPr="00F12510">
        <w:t xml:space="preserve">In </w:t>
      </w:r>
      <w:r>
        <w:t xml:space="preserve">H.  L.  Andrade &amp; G.  J.  </w:t>
      </w:r>
      <w:proofErr w:type="spellStart"/>
      <w:r>
        <w:t>Cizek</w:t>
      </w:r>
      <w:proofErr w:type="spellEnd"/>
      <w:r>
        <w:t xml:space="preserve"> </w:t>
      </w:r>
      <w:r w:rsidRPr="00F12510">
        <w:t>(Ed</w:t>
      </w:r>
      <w:r>
        <w:t>s.),</w:t>
      </w:r>
      <w:r w:rsidRPr="00F12510">
        <w:t xml:space="preserve"> </w:t>
      </w:r>
      <w:r>
        <w:rPr>
          <w:i/>
        </w:rPr>
        <w:t>Handbook of formative assessment</w:t>
      </w:r>
      <w:r>
        <w:t>.  New York:  Routledge.</w:t>
      </w:r>
    </w:p>
    <w:p w14:paraId="1FF1FE41" w14:textId="77777777" w:rsidR="00841A9B" w:rsidRPr="00E87B07" w:rsidRDefault="00841A9B" w:rsidP="00841A9B">
      <w:pPr>
        <w:pStyle w:val="references"/>
      </w:pPr>
      <w:r w:rsidRPr="00450092">
        <w:rPr>
          <w:szCs w:val="22"/>
        </w:rPr>
        <w:t xml:space="preserve">Gladwell, M. (2002). </w:t>
      </w:r>
      <w:r>
        <w:rPr>
          <w:i/>
          <w:szCs w:val="22"/>
        </w:rPr>
        <w:t>The t</w:t>
      </w:r>
      <w:r w:rsidRPr="00450092">
        <w:rPr>
          <w:i/>
          <w:szCs w:val="22"/>
        </w:rPr>
        <w:t xml:space="preserve">ipping </w:t>
      </w:r>
      <w:proofErr w:type="gramStart"/>
      <w:r w:rsidRPr="00450092">
        <w:rPr>
          <w:i/>
          <w:szCs w:val="22"/>
        </w:rPr>
        <w:t>point</w:t>
      </w:r>
      <w:proofErr w:type="gramEnd"/>
      <w:r w:rsidRPr="00450092">
        <w:rPr>
          <w:szCs w:val="22"/>
        </w:rPr>
        <w:t>. Boston: Back Bay Books.</w:t>
      </w:r>
    </w:p>
    <w:p w14:paraId="21B3D6C9" w14:textId="77777777" w:rsidR="00841A9B" w:rsidRDefault="00841A9B" w:rsidP="00841A9B">
      <w:pPr>
        <w:pStyle w:val="references"/>
      </w:pPr>
      <w:proofErr w:type="spellStart"/>
      <w:r>
        <w:t>Hasselbring</w:t>
      </w:r>
      <w:proofErr w:type="spellEnd"/>
      <w:r>
        <w:t xml:space="preserve">, T.  S. (2001). A possible future of special education technology. </w:t>
      </w:r>
      <w:r>
        <w:rPr>
          <w:i/>
          <w:iCs/>
        </w:rPr>
        <w:t>Journal of Special Education Technology, 16</w:t>
      </w:r>
      <w:r>
        <w:t>(4), 19-26.</w:t>
      </w:r>
    </w:p>
    <w:p w14:paraId="0B43A853" w14:textId="77777777" w:rsidR="00841A9B" w:rsidRPr="00023FE8" w:rsidRDefault="00841A9B" w:rsidP="00841A9B">
      <w:pPr>
        <w:pStyle w:val="references"/>
        <w:rPr>
          <w:rFonts w:cs="Times New Roman"/>
        </w:rPr>
      </w:pPr>
      <w:r w:rsidRPr="00023FE8">
        <w:rPr>
          <w:rFonts w:cs="Times New Roman"/>
          <w:color w:val="000000"/>
        </w:rPr>
        <w:t>Hattie, J., &amp; Timperley, H</w:t>
      </w:r>
      <w:r>
        <w:rPr>
          <w:rFonts w:cs="Times New Roman"/>
          <w:color w:val="000000"/>
        </w:rPr>
        <w:t xml:space="preserve">. </w:t>
      </w:r>
      <w:r w:rsidRPr="00023FE8">
        <w:rPr>
          <w:rFonts w:cs="Times New Roman"/>
          <w:color w:val="000000"/>
        </w:rPr>
        <w:t>(2007)</w:t>
      </w:r>
      <w:r>
        <w:rPr>
          <w:rFonts w:cs="Times New Roman"/>
          <w:color w:val="000000"/>
        </w:rPr>
        <w:t xml:space="preserve">. </w:t>
      </w:r>
      <w:r w:rsidRPr="00023FE8">
        <w:rPr>
          <w:rFonts w:cs="Times New Roman"/>
          <w:color w:val="000000"/>
        </w:rPr>
        <w:t>The power of feedback</w:t>
      </w:r>
      <w:r>
        <w:rPr>
          <w:rFonts w:cs="Times New Roman"/>
          <w:color w:val="000000"/>
        </w:rPr>
        <w:t xml:space="preserve">. </w:t>
      </w:r>
      <w:r w:rsidRPr="00023FE8">
        <w:rPr>
          <w:rFonts w:cs="Times New Roman"/>
          <w:i/>
          <w:iCs/>
          <w:color w:val="000000"/>
        </w:rPr>
        <w:t>Review of Educational Research, 77</w:t>
      </w:r>
      <w:r w:rsidRPr="00023FE8">
        <w:rPr>
          <w:rFonts w:cs="Times New Roman"/>
          <w:color w:val="000000"/>
        </w:rPr>
        <w:t>(1), 81–112.</w:t>
      </w:r>
    </w:p>
    <w:p w14:paraId="3D9D40AF" w14:textId="77777777" w:rsidR="00841A9B" w:rsidRDefault="00841A9B" w:rsidP="00841A9B">
      <w:pPr>
        <w:pStyle w:val="references"/>
      </w:pPr>
      <w:r>
        <w:t xml:space="preserve">Keller, F. S. (1968). Goodbye teacher. </w:t>
      </w:r>
      <w:r w:rsidRPr="0079044E">
        <w:rPr>
          <w:i/>
        </w:rPr>
        <w:t>Journal of Applied Behavior Analysis</w:t>
      </w:r>
      <w:r>
        <w:t xml:space="preserve">, </w:t>
      </w:r>
      <w:r w:rsidRPr="00450092">
        <w:rPr>
          <w:i/>
        </w:rPr>
        <w:t>1,</w:t>
      </w:r>
      <w:r>
        <w:t xml:space="preserve"> 79-87.</w:t>
      </w:r>
    </w:p>
    <w:p w14:paraId="54C74CD2" w14:textId="77777777" w:rsidR="00841A9B" w:rsidRDefault="00841A9B" w:rsidP="00841A9B">
      <w:pPr>
        <w:pStyle w:val="references"/>
      </w:pPr>
      <w:proofErr w:type="spellStart"/>
      <w:r w:rsidRPr="0047090A">
        <w:t>Kozma</w:t>
      </w:r>
      <w:proofErr w:type="spellEnd"/>
      <w:r w:rsidRPr="0047090A">
        <w:t>,</w:t>
      </w:r>
      <w:r>
        <w:t xml:space="preserve"> </w:t>
      </w:r>
      <w:r w:rsidRPr="0047090A">
        <w:t>R</w:t>
      </w:r>
      <w:r>
        <w:t xml:space="preserve">. </w:t>
      </w:r>
      <w:r w:rsidRPr="0047090A">
        <w:t>(1991)</w:t>
      </w:r>
      <w:r>
        <w:t xml:space="preserve">. </w:t>
      </w:r>
      <w:r w:rsidRPr="0047090A">
        <w:t>Learning</w:t>
      </w:r>
      <w:r>
        <w:t xml:space="preserve"> </w:t>
      </w:r>
      <w:r w:rsidRPr="0047090A">
        <w:t>with</w:t>
      </w:r>
      <w:r>
        <w:t xml:space="preserve"> </w:t>
      </w:r>
      <w:r w:rsidRPr="0047090A">
        <w:t>media</w:t>
      </w:r>
      <w:r>
        <w:t xml:space="preserve">.  </w:t>
      </w:r>
      <w:r w:rsidRPr="0047090A">
        <w:rPr>
          <w:i/>
          <w:iCs/>
        </w:rPr>
        <w:t>Review</w:t>
      </w:r>
      <w:r>
        <w:rPr>
          <w:i/>
          <w:iCs/>
        </w:rPr>
        <w:t xml:space="preserve"> </w:t>
      </w:r>
      <w:r w:rsidRPr="0047090A">
        <w:rPr>
          <w:i/>
          <w:iCs/>
        </w:rPr>
        <w:t>of</w:t>
      </w:r>
      <w:r>
        <w:rPr>
          <w:i/>
          <w:iCs/>
        </w:rPr>
        <w:t xml:space="preserve"> </w:t>
      </w:r>
      <w:r w:rsidRPr="0047090A">
        <w:rPr>
          <w:i/>
          <w:iCs/>
        </w:rPr>
        <w:t>Educational Research,</w:t>
      </w:r>
      <w:r>
        <w:rPr>
          <w:i/>
          <w:iCs/>
        </w:rPr>
        <w:t xml:space="preserve"> </w:t>
      </w:r>
      <w:r w:rsidRPr="00A56C98">
        <w:rPr>
          <w:i/>
        </w:rPr>
        <w:t>61</w:t>
      </w:r>
      <w:r>
        <w:t>(2), 179-211.</w:t>
      </w:r>
    </w:p>
    <w:p w14:paraId="7CDAE68F" w14:textId="77777777" w:rsidR="00841A9B" w:rsidRPr="0047090A" w:rsidRDefault="00841A9B" w:rsidP="00841A9B">
      <w:pPr>
        <w:pStyle w:val="references"/>
        <w:rPr>
          <w:i/>
          <w:iCs/>
        </w:rPr>
      </w:pPr>
      <w:proofErr w:type="spellStart"/>
      <w:r w:rsidRPr="0047090A">
        <w:t>Kozma</w:t>
      </w:r>
      <w:proofErr w:type="spellEnd"/>
      <w:r w:rsidRPr="0047090A">
        <w:t>, R</w:t>
      </w:r>
      <w:r>
        <w:t xml:space="preserve">. </w:t>
      </w:r>
      <w:r w:rsidRPr="0047090A">
        <w:t>(1994)</w:t>
      </w:r>
      <w:r>
        <w:t xml:space="preserve">. </w:t>
      </w:r>
      <w:r w:rsidRPr="0047090A">
        <w:t>Will media influence learning? Refra</w:t>
      </w:r>
      <w:r>
        <w:t>m</w:t>
      </w:r>
      <w:r w:rsidRPr="0047090A">
        <w:t>ing the debate</w:t>
      </w:r>
      <w:r>
        <w:t xml:space="preserve">.  </w:t>
      </w:r>
      <w:r w:rsidRPr="0047090A">
        <w:rPr>
          <w:i/>
          <w:iCs/>
        </w:rPr>
        <w:t>Educational Technology, Research and Development, 42(2), 7-19.</w:t>
      </w:r>
    </w:p>
    <w:p w14:paraId="74CBE6B8" w14:textId="77777777" w:rsidR="00841A9B" w:rsidRPr="00E87B07" w:rsidRDefault="00841A9B" w:rsidP="00841A9B">
      <w:pPr>
        <w:pStyle w:val="references"/>
      </w:pPr>
      <w:r w:rsidRPr="00450092">
        <w:rPr>
          <w:szCs w:val="18"/>
        </w:rPr>
        <w:t xml:space="preserve">Kulik, C., Kulik, J., &amp; </w:t>
      </w:r>
      <w:proofErr w:type="spellStart"/>
      <w:r w:rsidRPr="00450092">
        <w:rPr>
          <w:szCs w:val="18"/>
        </w:rPr>
        <w:t>Bangert</w:t>
      </w:r>
      <w:proofErr w:type="spellEnd"/>
      <w:r w:rsidRPr="00450092">
        <w:rPr>
          <w:szCs w:val="18"/>
        </w:rPr>
        <w:t xml:space="preserve">-Drowns, R. (1990). Effectiveness of mastery learning programs: A meta-analysis. </w:t>
      </w:r>
      <w:r w:rsidRPr="00450092">
        <w:rPr>
          <w:i/>
          <w:szCs w:val="18"/>
        </w:rPr>
        <w:t>Review of Educational Research, 60</w:t>
      </w:r>
      <w:r w:rsidRPr="00450092">
        <w:rPr>
          <w:szCs w:val="18"/>
        </w:rPr>
        <w:t>(2), 265-306.</w:t>
      </w:r>
      <w:r w:rsidRPr="00E87B07">
        <w:t xml:space="preserve"> </w:t>
      </w:r>
    </w:p>
    <w:p w14:paraId="4D5F1AE7" w14:textId="77777777" w:rsidR="00841A9B" w:rsidRDefault="00841A9B" w:rsidP="00841A9B">
      <w:pPr>
        <w:pStyle w:val="references"/>
      </w:pPr>
      <w:proofErr w:type="spellStart"/>
      <w:r>
        <w:t>Lasry</w:t>
      </w:r>
      <w:proofErr w:type="spellEnd"/>
      <w:r>
        <w:t xml:space="preserve">, N.  (2008). Clickers or flashcards: Is there really a difference? </w:t>
      </w:r>
      <w:r>
        <w:rPr>
          <w:i/>
          <w:iCs/>
        </w:rPr>
        <w:t>The Physics Teacher,</w:t>
      </w:r>
      <w:r>
        <w:t xml:space="preserve"> </w:t>
      </w:r>
      <w:r w:rsidRPr="00A56C98">
        <w:rPr>
          <w:i/>
        </w:rPr>
        <w:t>46</w:t>
      </w:r>
      <w:r>
        <w:t>(4), 242-244.</w:t>
      </w:r>
    </w:p>
    <w:p w14:paraId="5497E5B6" w14:textId="77777777" w:rsidR="00841A9B" w:rsidRDefault="00841A9B" w:rsidP="00841A9B">
      <w:pPr>
        <w:pStyle w:val="references"/>
      </w:pPr>
      <w:proofErr w:type="spellStart"/>
      <w:r>
        <w:t>Lasry</w:t>
      </w:r>
      <w:proofErr w:type="spellEnd"/>
      <w:r>
        <w:t xml:space="preserve">, N., Mazur, E., &amp; Watkins, J. (2008). </w:t>
      </w:r>
      <w:r w:rsidRPr="004C16DF">
        <w:rPr>
          <w:u w:color="008FDE"/>
        </w:rPr>
        <w:t>Peer instruction: From Harvard to the two-year college</w:t>
      </w:r>
      <w:r>
        <w:t xml:space="preserve">. </w:t>
      </w:r>
      <w:r>
        <w:rPr>
          <w:i/>
          <w:iCs/>
        </w:rPr>
        <w:t>American Journal of Physics</w:t>
      </w:r>
      <w:r>
        <w:t xml:space="preserve">, </w:t>
      </w:r>
      <w:r w:rsidRPr="00A56C98">
        <w:rPr>
          <w:i/>
        </w:rPr>
        <w:t>76</w:t>
      </w:r>
      <w:r>
        <w:t>(11), 1066-1069.</w:t>
      </w:r>
    </w:p>
    <w:p w14:paraId="62545021" w14:textId="77777777" w:rsidR="00841A9B" w:rsidRDefault="00841A9B" w:rsidP="00841A9B">
      <w:pPr>
        <w:pStyle w:val="references"/>
      </w:pPr>
      <w:r>
        <w:t xml:space="preserve">Martyn, M. (2007).  Clickers in the classroom: An active learning approach.  </w:t>
      </w:r>
      <w:r w:rsidRPr="00763F94">
        <w:rPr>
          <w:i/>
        </w:rPr>
        <w:t>EDUCAUSE Quarterly</w:t>
      </w:r>
      <w:r>
        <w:t xml:space="preserve">, </w:t>
      </w:r>
      <w:r w:rsidRPr="00450092">
        <w:rPr>
          <w:i/>
        </w:rPr>
        <w:t>30</w:t>
      </w:r>
      <w:r>
        <w:t xml:space="preserve">(2), 71-74.  </w:t>
      </w:r>
    </w:p>
    <w:p w14:paraId="5792FA19" w14:textId="77777777" w:rsidR="00841A9B" w:rsidRDefault="00841A9B" w:rsidP="00841A9B">
      <w:pPr>
        <w:pStyle w:val="references"/>
      </w:pPr>
      <w:r>
        <w:t xml:space="preserve">Mayer, R.  E., Stull, A., </w:t>
      </w:r>
      <w:proofErr w:type="spellStart"/>
      <w:r>
        <w:t>DeLeeuw</w:t>
      </w:r>
      <w:proofErr w:type="spellEnd"/>
      <w:r>
        <w:t xml:space="preserve">, K., </w:t>
      </w:r>
      <w:proofErr w:type="spellStart"/>
      <w:r>
        <w:t>Almeroth</w:t>
      </w:r>
      <w:proofErr w:type="spellEnd"/>
      <w:r>
        <w:t xml:space="preserve">, K., </w:t>
      </w:r>
      <w:proofErr w:type="spellStart"/>
      <w:r>
        <w:t>Bimber</w:t>
      </w:r>
      <w:proofErr w:type="spellEnd"/>
      <w:r>
        <w:t xml:space="preserve">, B., Chun, D., et al.  (2009).  Clickers in college classrooms: Fostering learning with questioning methods in large lecture classes. </w:t>
      </w:r>
      <w:r w:rsidRPr="00763F94">
        <w:rPr>
          <w:i/>
        </w:rPr>
        <w:t>Contemporary Educational Psychology</w:t>
      </w:r>
      <w:r>
        <w:t xml:space="preserve">, </w:t>
      </w:r>
      <w:r w:rsidRPr="00A56C98">
        <w:rPr>
          <w:i/>
        </w:rPr>
        <w:t>34</w:t>
      </w:r>
      <w:r>
        <w:t>(1), 51-57.</w:t>
      </w:r>
    </w:p>
    <w:p w14:paraId="3C917171" w14:textId="77777777" w:rsidR="00841A9B" w:rsidRDefault="00841A9B" w:rsidP="00841A9B">
      <w:pPr>
        <w:pStyle w:val="references"/>
      </w:pPr>
      <w:proofErr w:type="spellStart"/>
      <w:r>
        <w:t>Molenda</w:t>
      </w:r>
      <w:proofErr w:type="spellEnd"/>
      <w:r>
        <w:t xml:space="preserve">, M.  (2009).  Instructional technology must contribute to productivity. </w:t>
      </w:r>
      <w:r w:rsidRPr="00A56C98">
        <w:rPr>
          <w:i/>
        </w:rPr>
        <w:t xml:space="preserve">Journal of </w:t>
      </w:r>
      <w:r w:rsidRPr="00A56C98">
        <w:rPr>
          <w:i/>
        </w:rPr>
        <w:lastRenderedPageBreak/>
        <w:t>Computing in Higher Education</w:t>
      </w:r>
      <w:r>
        <w:t xml:space="preserve">, </w:t>
      </w:r>
      <w:r w:rsidRPr="00A56C98">
        <w:rPr>
          <w:i/>
        </w:rPr>
        <w:t>21</w:t>
      </w:r>
      <w:r>
        <w:t xml:space="preserve">(1), 80-94.  </w:t>
      </w:r>
    </w:p>
    <w:p w14:paraId="32B9C628" w14:textId="77777777" w:rsidR="00841A9B" w:rsidRDefault="00841A9B" w:rsidP="00841A9B">
      <w:pPr>
        <w:pStyle w:val="references"/>
      </w:pPr>
      <w:r w:rsidRPr="00315C6D">
        <w:t>Oppenheimer, T</w:t>
      </w:r>
      <w:r>
        <w:t xml:space="preserve">. </w:t>
      </w:r>
      <w:r w:rsidRPr="00315C6D">
        <w:t>(1997)</w:t>
      </w:r>
      <w:r>
        <w:t xml:space="preserve">. </w:t>
      </w:r>
      <w:r w:rsidRPr="00315C6D">
        <w:t>The computer delusion</w:t>
      </w:r>
      <w:r>
        <w:t xml:space="preserve">. </w:t>
      </w:r>
      <w:r w:rsidRPr="00315C6D">
        <w:rPr>
          <w:i/>
          <w:iCs/>
        </w:rPr>
        <w:t>The Atlantic Monthly, 280,</w:t>
      </w:r>
      <w:r w:rsidRPr="00315C6D">
        <w:t xml:space="preserve"> 45-62.</w:t>
      </w:r>
    </w:p>
    <w:p w14:paraId="1BF3B8A9" w14:textId="77777777" w:rsidR="00841A9B" w:rsidRDefault="00841A9B" w:rsidP="00841A9B">
      <w:pPr>
        <w:pStyle w:val="references"/>
      </w:pPr>
      <w:r>
        <w:t xml:space="preserve">Petroski, H. (2008). </w:t>
      </w:r>
      <w:r w:rsidRPr="006C48D0">
        <w:rPr>
          <w:i/>
        </w:rPr>
        <w:t>Success through failure: The paradox of design</w:t>
      </w:r>
      <w:r>
        <w:t>.  Princeton, N.J: Princeton University Press.</w:t>
      </w:r>
    </w:p>
    <w:p w14:paraId="6FFFF3D9" w14:textId="77777777" w:rsidR="00841A9B" w:rsidRDefault="00841A9B" w:rsidP="00841A9B">
      <w:pPr>
        <w:pStyle w:val="references"/>
      </w:pPr>
      <w:r>
        <w:t xml:space="preserve">Rogers, E., M. (2003). </w:t>
      </w:r>
      <w:r>
        <w:rPr>
          <w:i/>
        </w:rPr>
        <w:t>Diffusion of innovations</w:t>
      </w:r>
      <w:r>
        <w:t xml:space="preserve"> (5th ed.).  New York: The Free Press</w:t>
      </w:r>
    </w:p>
    <w:p w14:paraId="493ABE79" w14:textId="77777777" w:rsidR="00841A9B" w:rsidRDefault="00841A9B" w:rsidP="00841A9B">
      <w:pPr>
        <w:pStyle w:val="references"/>
      </w:pPr>
      <w:r>
        <w:t xml:space="preserve">Stake, R. (2003).  Case studies. In Norman. K. Denzin &amp; </w:t>
      </w:r>
      <w:proofErr w:type="spellStart"/>
      <w:r>
        <w:t>Yvonna</w:t>
      </w:r>
      <w:proofErr w:type="spellEnd"/>
      <w:r>
        <w:t xml:space="preserve">. S. Lincoln (Eds.), </w:t>
      </w:r>
      <w:r w:rsidRPr="00450092">
        <w:rPr>
          <w:i/>
        </w:rPr>
        <w:t>Strategies of qualitative inquiry</w:t>
      </w:r>
      <w:r>
        <w:t xml:space="preserve"> (2nd Ed.) (pp. 134 - 164).  Thousand Oaks, CA: Sage.</w:t>
      </w:r>
    </w:p>
    <w:p w14:paraId="6DA9FE7F" w14:textId="77777777" w:rsidR="00841A9B" w:rsidRDefault="00841A9B" w:rsidP="00841A9B">
      <w:pPr>
        <w:pStyle w:val="references"/>
      </w:pPr>
      <w:proofErr w:type="spellStart"/>
      <w:r w:rsidRPr="0082715D">
        <w:t>Stiggins</w:t>
      </w:r>
      <w:proofErr w:type="spellEnd"/>
      <w:r w:rsidRPr="0082715D">
        <w:t>, R</w:t>
      </w:r>
      <w:r>
        <w:t xml:space="preserve">.  </w:t>
      </w:r>
      <w:r w:rsidRPr="0082715D">
        <w:t>(2004)</w:t>
      </w:r>
      <w:r>
        <w:t xml:space="preserve">.  </w:t>
      </w:r>
      <w:r w:rsidRPr="0082715D">
        <w:t xml:space="preserve">New </w:t>
      </w:r>
      <w:r>
        <w:t>a</w:t>
      </w:r>
      <w:r w:rsidRPr="0082715D">
        <w:t xml:space="preserve">ssessment </w:t>
      </w:r>
      <w:r>
        <w:t>b</w:t>
      </w:r>
      <w:r w:rsidRPr="0082715D">
        <w:t xml:space="preserve">eliefs for a </w:t>
      </w:r>
      <w:r>
        <w:t>n</w:t>
      </w:r>
      <w:r w:rsidRPr="0082715D">
        <w:t xml:space="preserve">ew </w:t>
      </w:r>
      <w:r>
        <w:t>s</w:t>
      </w:r>
      <w:r w:rsidRPr="0082715D">
        <w:t xml:space="preserve">chool </w:t>
      </w:r>
      <w:r>
        <w:t>m</w:t>
      </w:r>
      <w:r w:rsidRPr="0082715D">
        <w:t>ission</w:t>
      </w:r>
      <w:r>
        <w:t xml:space="preserve">.  </w:t>
      </w:r>
      <w:r w:rsidRPr="0082715D">
        <w:rPr>
          <w:i/>
        </w:rPr>
        <w:t xml:space="preserve">Phi Delta </w:t>
      </w:r>
      <w:proofErr w:type="spellStart"/>
      <w:r w:rsidRPr="0082715D">
        <w:rPr>
          <w:i/>
        </w:rPr>
        <w:t>Kappan</w:t>
      </w:r>
      <w:proofErr w:type="spellEnd"/>
      <w:r w:rsidRPr="0082715D">
        <w:rPr>
          <w:i/>
        </w:rPr>
        <w:t>, 86(1)</w:t>
      </w:r>
      <w:r>
        <w:t>,</w:t>
      </w:r>
      <w:r w:rsidRPr="0082715D">
        <w:t xml:space="preserve"> 22-27.</w:t>
      </w:r>
    </w:p>
    <w:p w14:paraId="2D954679" w14:textId="77777777" w:rsidR="00841A9B" w:rsidRDefault="00841A9B" w:rsidP="00841A9B">
      <w:pPr>
        <w:pStyle w:val="references"/>
        <w:rPr>
          <w:rFonts w:cs="Times New Roman"/>
          <w:color w:val="000000"/>
        </w:rPr>
      </w:pPr>
      <w:proofErr w:type="spellStart"/>
      <w:r w:rsidRPr="001D43F0">
        <w:rPr>
          <w:rFonts w:cs="Times New Roman"/>
          <w:color w:val="000000"/>
        </w:rPr>
        <w:t>Wiliam</w:t>
      </w:r>
      <w:proofErr w:type="spellEnd"/>
      <w:r w:rsidRPr="001D43F0">
        <w:rPr>
          <w:rFonts w:cs="Times New Roman"/>
          <w:color w:val="000000"/>
        </w:rPr>
        <w:t>, D</w:t>
      </w:r>
      <w:r>
        <w:rPr>
          <w:rFonts w:cs="Times New Roman"/>
          <w:color w:val="000000"/>
        </w:rPr>
        <w:t xml:space="preserve">. </w:t>
      </w:r>
      <w:r w:rsidRPr="001D43F0">
        <w:rPr>
          <w:rFonts w:cs="Times New Roman"/>
          <w:color w:val="000000"/>
        </w:rPr>
        <w:t>(2006)</w:t>
      </w:r>
      <w:r>
        <w:rPr>
          <w:rFonts w:cs="Times New Roman"/>
          <w:color w:val="000000"/>
        </w:rPr>
        <w:t xml:space="preserve">.  </w:t>
      </w:r>
      <w:r w:rsidRPr="001D43F0">
        <w:rPr>
          <w:rFonts w:cs="Times New Roman"/>
          <w:color w:val="000000"/>
        </w:rPr>
        <w:t>Formative assessment: Getting the focus right</w:t>
      </w:r>
      <w:r>
        <w:rPr>
          <w:rFonts w:cs="Times New Roman"/>
          <w:color w:val="000000"/>
        </w:rPr>
        <w:t xml:space="preserve">.  </w:t>
      </w:r>
      <w:r w:rsidRPr="00450092">
        <w:rPr>
          <w:rFonts w:cs="Times New Roman"/>
          <w:i/>
          <w:color w:val="000000"/>
        </w:rPr>
        <w:t>Educational Assessment</w:t>
      </w:r>
      <w:r w:rsidRPr="001D43F0">
        <w:rPr>
          <w:rFonts w:cs="Times New Roman"/>
          <w:color w:val="000000"/>
        </w:rPr>
        <w:t xml:space="preserve">, </w:t>
      </w:r>
      <w:r w:rsidRPr="00A56C98">
        <w:rPr>
          <w:rFonts w:cs="Times New Roman"/>
          <w:i/>
          <w:color w:val="000000"/>
        </w:rPr>
        <w:t>11</w:t>
      </w:r>
      <w:r w:rsidRPr="001D43F0">
        <w:rPr>
          <w:rFonts w:cs="Times New Roman"/>
          <w:color w:val="000000"/>
        </w:rPr>
        <w:t>(3–4), 283–289.</w:t>
      </w:r>
    </w:p>
    <w:p w14:paraId="518D5588" w14:textId="0FF6999B" w:rsidR="0061537F" w:rsidRDefault="0061537F" w:rsidP="0061537F">
      <w:pPr>
        <w:pStyle w:val="references"/>
      </w:pPr>
      <w:r>
        <w:t xml:space="preserve">Worthen, B.R.; Sanders, J.R.; and Fitzpatrick, J.L. (1997). </w:t>
      </w:r>
      <w:r>
        <w:rPr>
          <w:i/>
        </w:rPr>
        <w:t>Program evaluation: alternative approaches and practical guidelines</w:t>
      </w:r>
      <w:r>
        <w:t>.  2nd ed.  New York: Longman.</w:t>
      </w:r>
    </w:p>
    <w:p w14:paraId="778557FC" w14:textId="77777777" w:rsidR="0061537F" w:rsidRPr="004D529C" w:rsidRDefault="0061537F" w:rsidP="00841A9B">
      <w:pPr>
        <w:pStyle w:val="references"/>
        <w:rPr>
          <w:rFonts w:cs="Times New Roman"/>
        </w:rPr>
      </w:pPr>
    </w:p>
    <w:sectPr w:rsidR="0061537F" w:rsidRPr="004D529C" w:rsidSect="00841A9B">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F726" w14:textId="77777777" w:rsidR="006376B3" w:rsidRDefault="006376B3">
      <w:pPr>
        <w:spacing w:after="0"/>
      </w:pPr>
      <w:r>
        <w:separator/>
      </w:r>
    </w:p>
  </w:endnote>
  <w:endnote w:type="continuationSeparator" w:id="0">
    <w:p w14:paraId="28AC20EE" w14:textId="77777777" w:rsidR="006376B3" w:rsidRDefault="00637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Bold">
    <w:altName w:val="Helvetica Neue"/>
    <w:panose1 w:val="02000803000000090004"/>
    <w:charset w:val="00"/>
    <w:family w:val="auto"/>
    <w:pitch w:val="variable"/>
    <w:sig w:usb0="E50002FF" w:usb1="500079DB" w:usb2="0000101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227F" w14:textId="77777777" w:rsidR="00A77F86" w:rsidRDefault="00A77F86">
    <w:pPr>
      <w:pStyle w:val="Footer"/>
    </w:pPr>
    <w:r>
      <w:rPr>
        <w:rStyle w:val="PageNumber"/>
      </w:rPr>
      <w:fldChar w:fldCharType="begin"/>
    </w:r>
    <w:r>
      <w:rPr>
        <w:rStyle w:val="PageNumber"/>
      </w:rPr>
      <w:instrText xml:space="preserve"> PAGE </w:instrText>
    </w:r>
    <w:r>
      <w:rPr>
        <w:rStyle w:val="PageNumber"/>
      </w:rPr>
      <w:fldChar w:fldCharType="separate"/>
    </w:r>
    <w:r w:rsidR="00D942C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A747" w14:textId="77777777" w:rsidR="006376B3" w:rsidRDefault="006376B3">
      <w:pPr>
        <w:spacing w:after="0"/>
      </w:pPr>
      <w:r>
        <w:separator/>
      </w:r>
    </w:p>
  </w:footnote>
  <w:footnote w:type="continuationSeparator" w:id="0">
    <w:p w14:paraId="7ACEFDF0" w14:textId="77777777" w:rsidR="006376B3" w:rsidRDefault="006376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164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C670E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EAE8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2BCA02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7BAA7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714A7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550EA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8C0D2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B7CB8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D2E0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78BC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A25645"/>
    <w:multiLevelType w:val="hybridMultilevel"/>
    <w:tmpl w:val="FB5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835012">
    <w:abstractNumId w:val="11"/>
  </w:num>
  <w:num w:numId="2" w16cid:durableId="1103066913">
    <w:abstractNumId w:val="10"/>
  </w:num>
  <w:num w:numId="3" w16cid:durableId="1185024570">
    <w:abstractNumId w:val="8"/>
  </w:num>
  <w:num w:numId="4" w16cid:durableId="1850678822">
    <w:abstractNumId w:val="7"/>
  </w:num>
  <w:num w:numId="5" w16cid:durableId="2022127474">
    <w:abstractNumId w:val="6"/>
  </w:num>
  <w:num w:numId="6" w16cid:durableId="1042243881">
    <w:abstractNumId w:val="5"/>
  </w:num>
  <w:num w:numId="7" w16cid:durableId="1518546046">
    <w:abstractNumId w:val="9"/>
  </w:num>
  <w:num w:numId="8" w16cid:durableId="438794045">
    <w:abstractNumId w:val="4"/>
  </w:num>
  <w:num w:numId="9" w16cid:durableId="1437477706">
    <w:abstractNumId w:val="3"/>
  </w:num>
  <w:num w:numId="10" w16cid:durableId="308019405">
    <w:abstractNumId w:val="2"/>
  </w:num>
  <w:num w:numId="11" w16cid:durableId="720442404">
    <w:abstractNumId w:val="1"/>
  </w:num>
  <w:num w:numId="12" w16cid:durableId="18953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46"/>
    <w:rsid w:val="0007633C"/>
    <w:rsid w:val="00123228"/>
    <w:rsid w:val="002F6120"/>
    <w:rsid w:val="003117A2"/>
    <w:rsid w:val="00315546"/>
    <w:rsid w:val="003463B2"/>
    <w:rsid w:val="00361741"/>
    <w:rsid w:val="003D0AA8"/>
    <w:rsid w:val="003F733B"/>
    <w:rsid w:val="004367D0"/>
    <w:rsid w:val="004C0105"/>
    <w:rsid w:val="004E26EB"/>
    <w:rsid w:val="004F2481"/>
    <w:rsid w:val="005130AD"/>
    <w:rsid w:val="00546FDB"/>
    <w:rsid w:val="00557D51"/>
    <w:rsid w:val="005A6D31"/>
    <w:rsid w:val="005B4CC7"/>
    <w:rsid w:val="00606A3F"/>
    <w:rsid w:val="00614973"/>
    <w:rsid w:val="0061537F"/>
    <w:rsid w:val="00627005"/>
    <w:rsid w:val="006376B3"/>
    <w:rsid w:val="00693EC2"/>
    <w:rsid w:val="0070703C"/>
    <w:rsid w:val="00760F7E"/>
    <w:rsid w:val="00785BB3"/>
    <w:rsid w:val="00811AD9"/>
    <w:rsid w:val="00841A9B"/>
    <w:rsid w:val="008F52B1"/>
    <w:rsid w:val="00901EE3"/>
    <w:rsid w:val="00977634"/>
    <w:rsid w:val="009A560A"/>
    <w:rsid w:val="009A5E21"/>
    <w:rsid w:val="00A749A0"/>
    <w:rsid w:val="00A77F86"/>
    <w:rsid w:val="00AA7D04"/>
    <w:rsid w:val="00B273E6"/>
    <w:rsid w:val="00B35891"/>
    <w:rsid w:val="00B91761"/>
    <w:rsid w:val="00BD7C6E"/>
    <w:rsid w:val="00C851F3"/>
    <w:rsid w:val="00D91A17"/>
    <w:rsid w:val="00D942C8"/>
    <w:rsid w:val="00D96830"/>
    <w:rsid w:val="00DA5F06"/>
    <w:rsid w:val="00DB5EFB"/>
    <w:rsid w:val="00DD3CEF"/>
    <w:rsid w:val="00DF03E1"/>
    <w:rsid w:val="00E06032"/>
    <w:rsid w:val="00E24E3C"/>
    <w:rsid w:val="00E70D39"/>
    <w:rsid w:val="00EA741A"/>
    <w:rsid w:val="00EB6017"/>
    <w:rsid w:val="00EE3D23"/>
    <w:rsid w:val="00EE5F4B"/>
    <w:rsid w:val="00EF574E"/>
    <w:rsid w:val="00F71457"/>
    <w:rsid w:val="00F82E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E71C5"/>
  <w14:defaultImageDpi w14:val="300"/>
  <w15:docId w15:val="{761FA00F-C781-7745-BFB5-842D7652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97F"/>
    <w:pPr>
      <w:spacing w:after="200"/>
    </w:pPr>
    <w:rPr>
      <w:sz w:val="24"/>
      <w:szCs w:val="24"/>
    </w:rPr>
  </w:style>
  <w:style w:type="paragraph" w:styleId="Heading1">
    <w:name w:val="heading 1"/>
    <w:basedOn w:val="Normal"/>
    <w:next w:val="Normal"/>
    <w:link w:val="Heading1Char"/>
    <w:uiPriority w:val="99"/>
    <w:qFormat/>
    <w:rsid w:val="005B4F90"/>
    <w:pPr>
      <w:keepNext/>
      <w:spacing w:before="240" w:after="60" w:line="480" w:lineRule="auto"/>
      <w:jc w:val="center"/>
      <w:outlineLvl w:val="0"/>
    </w:pPr>
    <w:rPr>
      <w:rFonts w:ascii="Times New Roman" w:eastAsia="Times New Roman" w:hAnsi="Times New Roman"/>
      <w:b/>
      <w:bCs/>
      <w:kern w:val="32"/>
      <w:lang w:val="x-none" w:eastAsia="x-none"/>
    </w:rPr>
  </w:style>
  <w:style w:type="paragraph" w:styleId="Heading2">
    <w:name w:val="heading 2"/>
    <w:basedOn w:val="Normal"/>
    <w:next w:val="Normal"/>
    <w:link w:val="Heading2Char"/>
    <w:uiPriority w:val="99"/>
    <w:qFormat/>
    <w:rsid w:val="00FD6C4C"/>
    <w:pPr>
      <w:keepNext/>
      <w:keepLines/>
      <w:spacing w:after="0" w:line="480" w:lineRule="auto"/>
      <w:outlineLvl w:val="1"/>
    </w:pPr>
    <w:rPr>
      <w:rFonts w:ascii="Times New Roman" w:eastAsia="Times New Roman" w:hAnsi="Times New Roman"/>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4F90"/>
    <w:rPr>
      <w:rFonts w:ascii="Times New Roman" w:eastAsia="Times New Roman" w:hAnsi="Times New Roman"/>
      <w:b/>
      <w:bCs/>
      <w:kern w:val="32"/>
      <w:sz w:val="24"/>
      <w:szCs w:val="24"/>
    </w:rPr>
  </w:style>
  <w:style w:type="character" w:customStyle="1" w:styleId="Heading2Char">
    <w:name w:val="Heading 2 Char"/>
    <w:link w:val="Heading2"/>
    <w:uiPriority w:val="99"/>
    <w:locked/>
    <w:rsid w:val="00FD6C4C"/>
    <w:rPr>
      <w:rFonts w:ascii="Times New Roman" w:eastAsia="Times New Roman" w:hAnsi="Times New Roman"/>
      <w:b/>
      <w:bCs/>
      <w:sz w:val="24"/>
      <w:szCs w:val="26"/>
    </w:rPr>
  </w:style>
  <w:style w:type="table" w:styleId="TableGrid">
    <w:name w:val="Table Grid"/>
    <w:basedOn w:val="TableNormal"/>
    <w:uiPriority w:val="59"/>
    <w:rsid w:val="001049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10497F"/>
    <w:pPr>
      <w:spacing w:after="0" w:line="480" w:lineRule="auto"/>
      <w:ind w:firstLine="720"/>
    </w:pPr>
    <w:rPr>
      <w:rFonts w:ascii="Times New Roman" w:hAnsi="Times New Roman"/>
      <w:lang w:val="x-none" w:eastAsia="x-none"/>
    </w:rPr>
  </w:style>
  <w:style w:type="character" w:customStyle="1" w:styleId="BodyTextChar">
    <w:name w:val="Body Text Char"/>
    <w:link w:val="BodyText"/>
    <w:locked/>
    <w:rsid w:val="0010497F"/>
    <w:rPr>
      <w:rFonts w:ascii="Times New Roman" w:hAnsi="Times New Roman" w:cs="Times New Roman"/>
      <w:sz w:val="24"/>
      <w:szCs w:val="24"/>
    </w:rPr>
  </w:style>
  <w:style w:type="paragraph" w:styleId="BalloonText">
    <w:name w:val="Balloon Text"/>
    <w:basedOn w:val="Normal"/>
    <w:link w:val="BalloonTextChar"/>
    <w:uiPriority w:val="99"/>
    <w:semiHidden/>
    <w:rsid w:val="0010497F"/>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locked/>
    <w:rsid w:val="0010497F"/>
    <w:rPr>
      <w:rFonts w:ascii="Lucida Grande" w:hAnsi="Lucida Grande" w:cs="Times New Roman"/>
      <w:sz w:val="18"/>
      <w:szCs w:val="18"/>
    </w:rPr>
  </w:style>
  <w:style w:type="paragraph" w:customStyle="1" w:styleId="Style2">
    <w:name w:val="Style2"/>
    <w:basedOn w:val="Normal"/>
    <w:qFormat/>
    <w:rsid w:val="0010497F"/>
    <w:pPr>
      <w:spacing w:after="0"/>
    </w:pPr>
    <w:rPr>
      <w:rFonts w:ascii="Times New Roman" w:eastAsia="Times New Roman" w:hAnsi="Times New Roman"/>
    </w:rPr>
  </w:style>
  <w:style w:type="paragraph" w:customStyle="1" w:styleId="BlockQuote">
    <w:name w:val="Block Quote"/>
    <w:basedOn w:val="BodyText"/>
    <w:uiPriority w:val="99"/>
    <w:rsid w:val="0010497F"/>
    <w:pPr>
      <w:spacing w:line="240" w:lineRule="auto"/>
      <w:ind w:left="1080" w:right="1080" w:firstLine="0"/>
      <w:jc w:val="both"/>
    </w:pPr>
  </w:style>
  <w:style w:type="paragraph" w:customStyle="1" w:styleId="figure">
    <w:name w:val="figure"/>
    <w:basedOn w:val="Normal"/>
    <w:uiPriority w:val="99"/>
    <w:rsid w:val="0010497F"/>
    <w:pPr>
      <w:spacing w:after="0"/>
      <w:jc w:val="center"/>
    </w:pPr>
    <w:rPr>
      <w:rFonts w:ascii="Times New Roman" w:eastAsia="Times New Roman" w:hAnsi="Times New Roman"/>
    </w:rPr>
  </w:style>
  <w:style w:type="paragraph" w:customStyle="1" w:styleId="references">
    <w:name w:val="references"/>
    <w:basedOn w:val="Normal"/>
    <w:qFormat/>
    <w:rsid w:val="0010497F"/>
    <w:pPr>
      <w:widowControl w:val="0"/>
      <w:autoSpaceDE w:val="0"/>
      <w:autoSpaceDN w:val="0"/>
      <w:adjustRightInd w:val="0"/>
      <w:spacing w:after="0" w:line="480" w:lineRule="auto"/>
      <w:ind w:left="720" w:hanging="720"/>
    </w:pPr>
    <w:rPr>
      <w:rFonts w:ascii="Times New Roman" w:hAnsi="Times New Roman" w:cs="HelveticaNeue-Bold"/>
      <w:bCs/>
    </w:rPr>
  </w:style>
  <w:style w:type="character" w:styleId="Hyperlink">
    <w:name w:val="Hyperlink"/>
    <w:uiPriority w:val="99"/>
    <w:rsid w:val="0010497F"/>
    <w:rPr>
      <w:rFonts w:cs="Times New Roman"/>
      <w:color w:val="0000FF"/>
      <w:u w:val="single"/>
    </w:rPr>
  </w:style>
  <w:style w:type="character" w:styleId="FollowedHyperlink">
    <w:name w:val="FollowedHyperlink"/>
    <w:uiPriority w:val="99"/>
    <w:rsid w:val="0010497F"/>
    <w:rPr>
      <w:rFonts w:cs="Times New Roman"/>
      <w:color w:val="800080"/>
      <w:u w:val="single"/>
    </w:rPr>
  </w:style>
  <w:style w:type="paragraph" w:styleId="Header">
    <w:name w:val="header"/>
    <w:basedOn w:val="Normal"/>
    <w:link w:val="HeaderChar"/>
    <w:uiPriority w:val="99"/>
    <w:rsid w:val="0010497F"/>
    <w:pPr>
      <w:tabs>
        <w:tab w:val="center" w:pos="4320"/>
        <w:tab w:val="right" w:pos="8640"/>
      </w:tabs>
    </w:pPr>
    <w:rPr>
      <w:lang w:val="x-none" w:eastAsia="x-none"/>
    </w:rPr>
  </w:style>
  <w:style w:type="character" w:customStyle="1" w:styleId="HeaderChar">
    <w:name w:val="Header Char"/>
    <w:link w:val="Header"/>
    <w:uiPriority w:val="99"/>
    <w:locked/>
    <w:rsid w:val="0010497F"/>
    <w:rPr>
      <w:rFonts w:cs="Times New Roman"/>
      <w:sz w:val="24"/>
      <w:szCs w:val="24"/>
    </w:rPr>
  </w:style>
  <w:style w:type="paragraph" w:styleId="Footer">
    <w:name w:val="footer"/>
    <w:basedOn w:val="Normal"/>
    <w:link w:val="FooterChar"/>
    <w:uiPriority w:val="99"/>
    <w:rsid w:val="0010497F"/>
    <w:pPr>
      <w:tabs>
        <w:tab w:val="center" w:pos="4320"/>
        <w:tab w:val="right" w:pos="8640"/>
      </w:tabs>
    </w:pPr>
    <w:rPr>
      <w:lang w:val="x-none" w:eastAsia="x-none"/>
    </w:rPr>
  </w:style>
  <w:style w:type="character" w:customStyle="1" w:styleId="FooterChar">
    <w:name w:val="Footer Char"/>
    <w:link w:val="Footer"/>
    <w:uiPriority w:val="99"/>
    <w:locked/>
    <w:rsid w:val="0010497F"/>
    <w:rPr>
      <w:rFonts w:cs="Times New Roman"/>
      <w:sz w:val="24"/>
      <w:szCs w:val="24"/>
    </w:rPr>
  </w:style>
  <w:style w:type="character" w:styleId="CommentReference">
    <w:name w:val="annotation reference"/>
    <w:uiPriority w:val="99"/>
    <w:rsid w:val="0010497F"/>
    <w:rPr>
      <w:rFonts w:cs="Times New Roman"/>
      <w:sz w:val="18"/>
      <w:szCs w:val="18"/>
    </w:rPr>
  </w:style>
  <w:style w:type="paragraph" w:styleId="CommentText">
    <w:name w:val="annotation text"/>
    <w:basedOn w:val="Normal"/>
    <w:link w:val="CommentTextChar"/>
    <w:uiPriority w:val="99"/>
    <w:rsid w:val="0010497F"/>
    <w:rPr>
      <w:lang w:val="x-none" w:eastAsia="x-none"/>
    </w:rPr>
  </w:style>
  <w:style w:type="character" w:customStyle="1" w:styleId="CommentTextChar">
    <w:name w:val="Comment Text Char"/>
    <w:link w:val="CommentText"/>
    <w:uiPriority w:val="99"/>
    <w:locked/>
    <w:rsid w:val="0010497F"/>
    <w:rPr>
      <w:rFonts w:cs="Times New Roman"/>
      <w:sz w:val="24"/>
      <w:szCs w:val="24"/>
    </w:rPr>
  </w:style>
  <w:style w:type="paragraph" w:styleId="CommentSubject">
    <w:name w:val="annotation subject"/>
    <w:basedOn w:val="CommentText"/>
    <w:next w:val="CommentText"/>
    <w:link w:val="CommentSubjectChar"/>
    <w:uiPriority w:val="99"/>
    <w:rsid w:val="0010497F"/>
    <w:rPr>
      <w:b/>
      <w:bCs/>
    </w:rPr>
  </w:style>
  <w:style w:type="character" w:customStyle="1" w:styleId="CommentSubjectChar">
    <w:name w:val="Comment Subject Char"/>
    <w:link w:val="CommentSubject"/>
    <w:uiPriority w:val="99"/>
    <w:locked/>
    <w:rsid w:val="0010497F"/>
    <w:rPr>
      <w:rFonts w:cs="Times New Roman"/>
      <w:b/>
      <w:bCs/>
      <w:sz w:val="24"/>
      <w:szCs w:val="24"/>
    </w:rPr>
  </w:style>
  <w:style w:type="character" w:styleId="Emphasis">
    <w:name w:val="Emphasis"/>
    <w:uiPriority w:val="99"/>
    <w:qFormat/>
    <w:rsid w:val="0010497F"/>
    <w:rPr>
      <w:rFonts w:cs="Times New Roman"/>
      <w:i/>
      <w:iCs/>
    </w:rPr>
  </w:style>
  <w:style w:type="paragraph" w:styleId="HTMLPreformatted">
    <w:name w:val="HTML Preformatted"/>
    <w:basedOn w:val="Normal"/>
    <w:link w:val="HTMLPreformattedChar"/>
    <w:rsid w:val="00104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PreformattedChar">
    <w:name w:val="HTML Preformatted Char"/>
    <w:link w:val="HTMLPreformatted"/>
    <w:locked/>
    <w:rsid w:val="0010497F"/>
    <w:rPr>
      <w:rFonts w:ascii="Courier New" w:hAnsi="Courier New" w:cs="Courier New"/>
    </w:rPr>
  </w:style>
  <w:style w:type="paragraph" w:customStyle="1" w:styleId="References0">
    <w:name w:val="References"/>
    <w:rsid w:val="00613DEE"/>
    <w:pPr>
      <w:spacing w:after="240"/>
      <w:ind w:left="720" w:hanging="720"/>
    </w:pPr>
    <w:rPr>
      <w:rFonts w:ascii="Times New Roman" w:eastAsia="Times New Roman" w:hAnsi="Times New Roman" w:cs="Arial"/>
      <w:bCs/>
      <w:kern w:val="32"/>
      <w:sz w:val="24"/>
      <w:szCs w:val="24"/>
    </w:rPr>
  </w:style>
  <w:style w:type="character" w:styleId="PageNumber">
    <w:name w:val="page number"/>
    <w:basedOn w:val="DefaultParagraphFont"/>
    <w:uiPriority w:val="99"/>
    <w:semiHidden/>
    <w:unhideWhenUsed/>
    <w:rsid w:val="001A281B"/>
  </w:style>
  <w:style w:type="paragraph" w:customStyle="1" w:styleId="body">
    <w:name w:val="body"/>
    <w:basedOn w:val="Normal"/>
    <w:qFormat/>
    <w:rsid w:val="00D87674"/>
    <w:pPr>
      <w:widowControl w:val="0"/>
      <w:tabs>
        <w:tab w:val="left" w:pos="480"/>
      </w:tabs>
      <w:autoSpaceDE w:val="0"/>
      <w:autoSpaceDN w:val="0"/>
      <w:adjustRightInd w:val="0"/>
      <w:spacing w:after="0" w:line="480" w:lineRule="auto"/>
      <w:ind w:firstLine="720"/>
    </w:pPr>
    <w:rPr>
      <w:rFonts w:ascii="Times New Roman" w:eastAsia="Times New Roman" w:hAnsi="Times New Roman"/>
      <w:szCs w:val="20"/>
      <w:lang w:eastAsia="en-AU"/>
    </w:rPr>
  </w:style>
  <w:style w:type="paragraph" w:customStyle="1" w:styleId="TableText">
    <w:name w:val="Table Text"/>
    <w:basedOn w:val="Normal"/>
    <w:qFormat/>
    <w:rsid w:val="009A6A05"/>
    <w:pPr>
      <w:widowControl w:val="0"/>
      <w:autoSpaceDE w:val="0"/>
      <w:autoSpaceDN w:val="0"/>
      <w:adjustRightInd w:val="0"/>
      <w:spacing w:after="0"/>
      <w:jc w:val="center"/>
    </w:pPr>
    <w:rPr>
      <w:rFonts w:ascii="Times New Roman" w:hAnsi="Times New Roman"/>
      <w:color w:val="000000"/>
    </w:rPr>
  </w:style>
  <w:style w:type="paragraph" w:customStyle="1" w:styleId="TableHeading">
    <w:name w:val="Table Heading"/>
    <w:basedOn w:val="BodyText"/>
    <w:link w:val="TableHeadingChar"/>
    <w:qFormat/>
    <w:rsid w:val="00CB47E7"/>
    <w:pPr>
      <w:ind w:firstLine="0"/>
    </w:pPr>
  </w:style>
  <w:style w:type="character" w:customStyle="1" w:styleId="TableHeadingChar">
    <w:name w:val="Table Heading Char"/>
    <w:link w:val="TableHeading"/>
    <w:rsid w:val="00CB47E7"/>
    <w:rPr>
      <w:rFonts w:ascii="Times New Roman" w:hAnsi="Times New Roman" w:cs="Times New Roman"/>
      <w:sz w:val="24"/>
      <w:szCs w:val="24"/>
    </w:rPr>
  </w:style>
  <w:style w:type="paragraph" w:styleId="Revision">
    <w:name w:val="Revision"/>
    <w:hidden/>
    <w:rsid w:val="00162D6C"/>
    <w:rPr>
      <w:sz w:val="24"/>
      <w:szCs w:val="24"/>
    </w:rPr>
  </w:style>
  <w:style w:type="paragraph" w:customStyle="1" w:styleId="Default">
    <w:name w:val="Default"/>
    <w:rsid w:val="004463C7"/>
    <w:pPr>
      <w:widowControl w:val="0"/>
      <w:autoSpaceDE w:val="0"/>
      <w:autoSpaceDN w:val="0"/>
      <w:adjustRightInd w:val="0"/>
    </w:pPr>
    <w:rPr>
      <w:rFonts w:ascii="Times New Roman" w:hAnsi="Times New Roman"/>
      <w:color w:val="000000"/>
      <w:sz w:val="24"/>
      <w:szCs w:val="24"/>
    </w:rPr>
  </w:style>
  <w:style w:type="paragraph" w:customStyle="1" w:styleId="Body0">
    <w:name w:val="Body"/>
    <w:basedOn w:val="Normal"/>
    <w:qFormat/>
    <w:rsid w:val="00F82E59"/>
    <w:pPr>
      <w:spacing w:after="0" w:line="480" w:lineRule="auto"/>
      <w:ind w:firstLine="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8804">
      <w:bodyDiv w:val="1"/>
      <w:marLeft w:val="0"/>
      <w:marRight w:val="0"/>
      <w:marTop w:val="0"/>
      <w:marBottom w:val="0"/>
      <w:divBdr>
        <w:top w:val="none" w:sz="0" w:space="0" w:color="auto"/>
        <w:left w:val="none" w:sz="0" w:space="0" w:color="auto"/>
        <w:bottom w:val="none" w:sz="0" w:space="0" w:color="auto"/>
        <w:right w:val="none" w:sz="0" w:space="0" w:color="auto"/>
      </w:divBdr>
    </w:div>
    <w:div w:id="1073117915">
      <w:marLeft w:val="0"/>
      <w:marRight w:val="0"/>
      <w:marTop w:val="0"/>
      <w:marBottom w:val="0"/>
      <w:divBdr>
        <w:top w:val="none" w:sz="0" w:space="0" w:color="auto"/>
        <w:left w:val="none" w:sz="0" w:space="0" w:color="auto"/>
        <w:bottom w:val="none" w:sz="0" w:space="0" w:color="auto"/>
        <w:right w:val="none" w:sz="0" w:space="0" w:color="auto"/>
      </w:divBdr>
    </w:div>
    <w:div w:id="1257440504">
      <w:bodyDiv w:val="1"/>
      <w:marLeft w:val="0"/>
      <w:marRight w:val="0"/>
      <w:marTop w:val="0"/>
      <w:marBottom w:val="0"/>
      <w:divBdr>
        <w:top w:val="none" w:sz="0" w:space="0" w:color="auto"/>
        <w:left w:val="none" w:sz="0" w:space="0" w:color="auto"/>
        <w:bottom w:val="none" w:sz="0" w:space="0" w:color="auto"/>
        <w:right w:val="none" w:sz="0" w:space="0" w:color="auto"/>
      </w:divBdr>
    </w:div>
    <w:div w:id="1619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3216-FE9A-F145-99FE-B56B5BC2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Strategy, Tactics and Technology for Improving Learning through Mastery Learning</vt:lpstr>
    </vt:vector>
  </TitlesOfParts>
  <Company>University of Kentucky</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Tactics and Technology for Improving Learning through Mastery Learning</dc:title>
  <dc:subject/>
  <dc:creator>COE UK</dc:creator>
  <cp:keywords/>
  <dc:description/>
  <cp:lastModifiedBy>Swan, Gerry M.</cp:lastModifiedBy>
  <cp:revision>5</cp:revision>
  <cp:lastPrinted>2011-08-17T16:56:00Z</cp:lastPrinted>
  <dcterms:created xsi:type="dcterms:W3CDTF">2023-01-11T10:36:00Z</dcterms:created>
  <dcterms:modified xsi:type="dcterms:W3CDTF">2023-01-12T17:51:00Z</dcterms:modified>
</cp:coreProperties>
</file>